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Submission checklist</w:t>
      </w:r>
    </w:p>
    <w:p>
      <w:pPr>
        <w:spacing w:before="280" w:after="120"/>
      </w:pPr>
      <w:r>
        <w:rPr>
          <w:b/>
        </w:rPr>
        <w:t>Items included in the submission package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Item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Status</w:t>
            </w:r>
          </w:p>
        </w:tc>
        <w:tc>
          <w:tcPr>
            <w:tcW w:type="dxa" w:w="3120"/>
            <w:shd w:fill="D9EAF7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r>
              <w:rPr>
                <w:rFonts w:ascii="Arial" w:hAnsi="Arial"/>
                <w:b/>
                <w:sz w:val="16"/>
              </w:rPr>
              <w:t>File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 letter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Cover_Letter_CompSec.docx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 page with author details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Anonymized manuscript (figures/tables inline)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Highlights (&lt;=5, &lt;=85 chars)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Highlights_CompSec.docx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 (PNG + TIFF + PDF, 600 dpi)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figures/Figure1-5.*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figures (one per slide)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Figures_CompSec_editable.pptx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Editable tables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Tables_CompSec_editable.docx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 guideline (PRISMA-ScR)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Reporting_Guideline_PRISMA-ScR.docx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 audit (first-appearance order)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Citation_Audit.csv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 verification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Reference_Verification.csv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Word count (body incl. title/abstract): 2331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Reported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Title_Page_CompSec.docx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Data/code availability statement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 (Declarations)</w:t>
            </w:r>
          </w:p>
        </w:tc>
      </w:tr>
      <w:tr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Generative AI disclosure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Included</w:t>
            </w:r>
          </w:p>
        </w:tc>
        <w:tc>
          <w:tcPr>
            <w:tcW w:type="dxa" w:w="3120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/>
            </w:pPr>
            <w:r>
              <w:rPr>
                <w:rFonts w:ascii="Arial" w:hAnsi="Arial"/>
                <w:sz w:val="16"/>
              </w:rPr>
              <w:t>Manuscript (Declarations)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