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b/>
        </w:rPr>
        <w:t>Editable tables</w:t>
      </w:r>
    </w:p>
    <w:p>
      <w:pPr>
        <w:spacing w:before="280" w:after="120"/>
      </w:pPr>
      <w:r>
        <w:rPr>
          <w:b/>
        </w:rPr>
        <w:t>Table 1. Eligibility criteria and data sources for the three study components.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fill="D9EAF7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rFonts w:ascii="Arial" w:hAnsi="Arial"/>
                <w:b/>
                <w:sz w:val="16"/>
              </w:rPr>
              <w:t>Component</w:t>
            </w:r>
          </w:p>
        </w:tc>
        <w:tc>
          <w:tcPr>
            <w:tcW w:type="dxa" w:w="2340"/>
            <w:shd w:fill="D9EAF7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rFonts w:ascii="Arial" w:hAnsi="Arial"/>
                <w:b/>
                <w:sz w:val="16"/>
              </w:rPr>
              <w:t>Unit of analysis</w:t>
            </w:r>
          </w:p>
        </w:tc>
        <w:tc>
          <w:tcPr>
            <w:tcW w:type="dxa" w:w="2340"/>
            <w:shd w:fill="D9EAF7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rFonts w:ascii="Arial" w:hAnsi="Arial"/>
                <w:b/>
                <w:sz w:val="16"/>
              </w:rPr>
              <w:t>Inclusion criteria</w:t>
            </w:r>
          </w:p>
        </w:tc>
        <w:tc>
          <w:tcPr>
            <w:tcW w:type="dxa" w:w="2340"/>
            <w:shd w:fill="D9EAF7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rFonts w:ascii="Arial" w:hAnsi="Arial"/>
                <w:b/>
                <w:sz w:val="16"/>
              </w:rPr>
              <w:t>Primary source</w:t>
            </w:r>
          </w:p>
        </w:tc>
      </w:tr>
      <w:tr>
        <w:tc>
          <w:tcPr>
            <w:tcW w:type="dxa" w:w="2340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Scoping review (WP1)</w:t>
            </w:r>
          </w:p>
        </w:tc>
        <w:tc>
          <w:tcPr>
            <w:tcW w:type="dxa" w:w="2340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Study</w:t>
            </w:r>
          </w:p>
        </w:tc>
        <w:tc>
          <w:tcPr>
            <w:tcW w:type="dxa" w:w="2340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Peer-reviewed or archival works reporting a data path in or transferable to shared micromobility</w:t>
            </w:r>
          </w:p>
        </w:tc>
        <w:tc>
          <w:tcPr>
            <w:tcW w:type="dxa" w:w="2340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Bibliographic search of 2,169 records [11,13]</w:t>
            </w:r>
          </w:p>
        </w:tc>
      </w:tr>
      <w:tr>
        <w:tc>
          <w:tcPr>
            <w:tcW w:type="dxa" w:w="2340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GBFS field audit (WP2)</w:t>
            </w:r>
          </w:p>
        </w:tc>
        <w:tc>
          <w:tcPr>
            <w:tcW w:type="dxa" w:w="2340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System/feed</w:t>
            </w:r>
          </w:p>
        </w:tc>
        <w:tc>
          <w:tcPr>
            <w:tcW w:type="dxa" w:w="2340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Public GBFS systems in the frozen registry with a reachable auto-discovery endpoint</w:t>
            </w:r>
          </w:p>
        </w:tc>
        <w:tc>
          <w:tcPr>
            <w:tcW w:type="dxa" w:w="2340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GBFS systems catalogue and live feeds [12,14]</w:t>
            </w:r>
          </w:p>
        </w:tc>
      </w:tr>
      <w:tr>
        <w:tc>
          <w:tcPr>
            <w:tcW w:type="dxa" w:w="2340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Disclosure audit (WP3)</w:t>
            </w:r>
          </w:p>
        </w:tc>
        <w:tc>
          <w:tcPr>
            <w:tcW w:type="dxa" w:w="2340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Operator document</w:t>
            </w:r>
          </w:p>
        </w:tc>
        <w:tc>
          <w:tcPr>
            <w:tcW w:type="dxa" w:w="2340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Publicly reachable operator privacy notice for an audited GBFS operator</w:t>
            </w:r>
          </w:p>
        </w:tc>
        <w:tc>
          <w:tcPr>
            <w:tcW w:type="dxa" w:w="2340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Operator privacy notices; governance guidance [15,16]</w:t>
            </w:r>
          </w:p>
        </w:tc>
      </w:tr>
    </w:tbl>
    <w:p/>
    <w:p>
      <w:pPr>
        <w:sectPr>
          <w:pgSz w:w="12240" w:h="15840"/>
          <w:pgMar w:top="1440" w:right="1440" w:bottom="1440" w:left="1440" w:header="720" w:footer="720" w:gutter="0"/>
          <w:cols w:space="720"/>
          <w:docGrid w:linePitch="360"/>
        </w:sectPr>
      </w:pPr>
    </w:p>
    <w:p>
      <w:pPr>
        <w:spacing w:before="280" w:after="120"/>
      </w:pPr>
      <w:r>
        <w:rPr>
          <w:b/>
        </w:rPr>
        <w:t>Table 2. Included direct studies (n = 18), ordered by evidence distance. Key results are as reported by the source; this review did not reproduce the underlying experiments.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fill="D9EAF7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rFonts w:ascii="Arial" w:hAnsi="Arial"/>
                <w:b/>
                <w:sz w:val="16"/>
              </w:rPr>
              <w:t>Study</w:t>
            </w:r>
          </w:p>
        </w:tc>
        <w:tc>
          <w:tcPr>
            <w:tcW w:type="dxa" w:w="2340"/>
            <w:shd w:fill="D9EAF7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rFonts w:ascii="Arial" w:hAnsi="Arial"/>
                <w:b/>
                <w:sz w:val="16"/>
              </w:rPr>
              <w:t>Evidence distance</w:t>
            </w:r>
          </w:p>
        </w:tc>
        <w:tc>
          <w:tcPr>
            <w:tcW w:type="dxa" w:w="2340"/>
            <w:shd w:fill="D9EAF7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rFonts w:ascii="Arial" w:hAnsi="Arial"/>
                <w:b/>
                <w:sz w:val="16"/>
              </w:rPr>
              <w:t>Device or service</w:t>
            </w:r>
          </w:p>
        </w:tc>
        <w:tc>
          <w:tcPr>
            <w:tcW w:type="dxa" w:w="2340"/>
            <w:shd w:fill="D9EAF7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rFonts w:ascii="Arial" w:hAnsi="Arial"/>
                <w:b/>
                <w:sz w:val="16"/>
              </w:rPr>
              <w:t>Reported key result</w:t>
            </w:r>
          </w:p>
        </w:tc>
      </w:tr>
      <w:tr>
        <w:tc>
          <w:tcPr>
            <w:tcW w:type="dxa" w:w="2340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Casagrande et al [4]</w:t>
            </w:r>
          </w:p>
        </w:tc>
        <w:tc>
          <w:tcPr>
            <w:tcW w:type="dxa" w:w="2340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D4 empirical</w:t>
            </w:r>
          </w:p>
        </w:tc>
        <w:tc>
          <w:tcPr>
            <w:tcW w:type="dxa" w:w="2340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Xiaomi e-scooter ecosystem and Mi Home app</w:t>
            </w:r>
          </w:p>
        </w:tc>
        <w:tc>
          <w:tcPr>
            <w:tcW w:type="dxa" w:w="2340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Proprietary BLE protocol exploitable to steal or disable scooters and expose data</w:t>
            </w:r>
          </w:p>
        </w:tc>
      </w:tr>
      <w:tr>
        <w:tc>
          <w:tcPr>
            <w:tcW w:type="dxa" w:w="2340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Casagrande et al [21]</w:t>
            </w:r>
          </w:p>
        </w:tc>
        <w:tc>
          <w:tcPr>
            <w:tcW w:type="dxa" w:w="2340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D4 empirical</w:t>
            </w:r>
          </w:p>
        </w:tc>
        <w:tc>
          <w:tcPr>
            <w:tcW w:type="dxa" w:w="2340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Xiaomi M365 and ES3 e-scooters with companion app</w:t>
            </w:r>
          </w:p>
        </w:tc>
        <w:tc>
          <w:tcPr>
            <w:tcW w:type="dxa" w:w="2340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Battery-powered embedded internals expose tracking, DoS, ransomware, and data-leak surfaces</w:t>
            </w:r>
          </w:p>
        </w:tc>
      </w:tr>
      <w:tr>
        <w:tc>
          <w:tcPr>
            <w:tcW w:type="dxa" w:w="2340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Elzer et al [2]</w:t>
            </w:r>
          </w:p>
        </w:tc>
        <w:tc>
          <w:tcPr>
            <w:tcW w:type="dxa" w:w="2340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D4 empirical</w:t>
            </w:r>
          </w:p>
        </w:tc>
        <w:tc>
          <w:tcPr>
            <w:tcW w:type="dxa" w:w="2340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Shared e-scooter and e-bike systems (public provider feeds)</w:t>
            </w:r>
          </w:p>
        </w:tc>
        <w:tc>
          <w:tcPr>
            <w:tcW w:type="dxa" w:w="2340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Public feed state changes reconstruct individual mobility patterns exploitable for stalking or burglary</w:t>
            </w:r>
          </w:p>
        </w:tc>
      </w:tr>
      <w:tr>
        <w:tc>
          <w:tcPr>
            <w:tcW w:type="dxa" w:w="2340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Hilgert et al [6]</w:t>
            </w:r>
          </w:p>
        </w:tc>
        <w:tc>
          <w:tcPr>
            <w:tcW w:type="dxa" w:w="2340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D4 empirical</w:t>
            </w:r>
          </w:p>
        </w:tc>
        <w:tc>
          <w:tcPr>
            <w:tcW w:type="dxa" w:w="2340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Micromobility rental apps (bikes and e-scooters)</w:t>
            </w:r>
          </w:p>
        </w:tc>
        <w:tc>
          <w:tcPr>
            <w:tcW w:type="dxa" w:w="2340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Micromobility apps retain recoverable movement and account artifacts of investigative value</w:t>
            </w:r>
          </w:p>
        </w:tc>
      </w:tr>
      <w:tr>
        <w:tc>
          <w:tcPr>
            <w:tcW w:type="dxa" w:w="2340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Vinayaga-Sureshkanth et al [3]</w:t>
            </w:r>
          </w:p>
        </w:tc>
        <w:tc>
          <w:tcPr>
            <w:tcW w:type="dxa" w:w="2340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D4 empirical</w:t>
            </w:r>
          </w:p>
        </w:tc>
        <w:tc>
          <w:tcPr>
            <w:tcW w:type="dxa" w:w="2340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Mobile e-scooter rental applications</w:t>
            </w:r>
          </w:p>
        </w:tc>
        <w:tc>
          <w:tcPr>
            <w:tcW w:type="dxa" w:w="2340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Rental apps collect privacy-sensitive data as a functional requirement and embed third-party trackers</w:t>
            </w:r>
          </w:p>
        </w:tc>
      </w:tr>
      <w:tr>
        <w:tc>
          <w:tcPr>
            <w:tcW w:type="dxa" w:w="2340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Hannemann et al [29]</w:t>
            </w:r>
          </w:p>
        </w:tc>
        <w:tc>
          <w:tcPr>
            <w:tcW w:type="dxa" w:w="2340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D3 documentary</w:t>
            </w:r>
          </w:p>
        </w:tc>
        <w:tc>
          <w:tcPr>
            <w:tcW w:type="dxa" w:w="2340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Smart-mobility platforms (incl. rental bikes, e-scooters)</w:t>
            </w:r>
          </w:p>
        </w:tc>
        <w:tc>
          <w:tcPr>
            <w:tcW w:type="dxa" w:w="2340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Smart mobility shares sensitive personal data across parties; FHE mitigations remain costly</w:t>
            </w:r>
          </w:p>
        </w:tc>
      </w:tr>
      <w:tr>
        <w:tc>
          <w:tcPr>
            <w:tcW w:type="dxa" w:w="2340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Isik et al [22]</w:t>
            </w:r>
          </w:p>
        </w:tc>
        <w:tc>
          <w:tcPr>
            <w:tcW w:type="dxa" w:w="2340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D3 documentary</w:t>
            </w:r>
          </w:p>
        </w:tc>
        <w:tc>
          <w:tcPr>
            <w:tcW w:type="dxa" w:w="2340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E-scooter sharing platforms (ESPs)</w:t>
            </w:r>
          </w:p>
        </w:tc>
        <w:tc>
          <w:tcPr>
            <w:tcW w:type="dxa" w:w="2340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ESP architecture exposes resource abuse, DoS, and personal-data breach surfaces</w:t>
            </w:r>
          </w:p>
        </w:tc>
      </w:tr>
      <w:tr>
        <w:tc>
          <w:tcPr>
            <w:tcW w:type="dxa" w:w="2340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Li et al [26]</w:t>
            </w:r>
          </w:p>
        </w:tc>
        <w:tc>
          <w:tcPr>
            <w:tcW w:type="dxa" w:w="2340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D3 documentary</w:t>
            </w:r>
          </w:p>
        </w:tc>
        <w:tc>
          <w:tcPr>
            <w:tcW w:type="dxa" w:w="2340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E-scooter sharing platforms</w:t>
            </w:r>
          </w:p>
        </w:tc>
        <w:tc>
          <w:tcPr>
            <w:tcW w:type="dxa" w:w="2340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Traceable route information drives distinct privacy concern and protective responses</w:t>
            </w:r>
          </w:p>
        </w:tc>
      </w:tr>
      <w:tr>
        <w:tc>
          <w:tcPr>
            <w:tcW w:type="dxa" w:w="2340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Petersen (2019) [27]</w:t>
            </w:r>
          </w:p>
        </w:tc>
        <w:tc>
          <w:tcPr>
            <w:tcW w:type="dxa" w:w="2340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D3 documentary</w:t>
            </w:r>
          </w:p>
        </w:tc>
        <w:tc>
          <w:tcPr>
            <w:tcW w:type="dxa" w:w="2340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Rental scooters (Bird, Lime, Spin)</w:t>
            </w:r>
          </w:p>
        </w:tc>
        <w:tc>
          <w:tcPr>
            <w:tcW w:type="dxa" w:w="2340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Rental scooters yield a uniquely identifying rider dataset that may be shared or sold</w:t>
            </w:r>
          </w:p>
        </w:tc>
      </w:tr>
      <w:tr>
        <w:tc>
          <w:tcPr>
            <w:tcW w:type="dxa" w:w="2340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Sato et al [25]</w:t>
            </w:r>
          </w:p>
        </w:tc>
        <w:tc>
          <w:tcPr>
            <w:tcW w:type="dxa" w:w="2340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D3 documentary</w:t>
            </w:r>
          </w:p>
        </w:tc>
        <w:tc>
          <w:tcPr>
            <w:tcW w:type="dxa" w:w="2340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Micromobility vehicles (data-acquisition testbed)</w:t>
            </w:r>
          </w:p>
        </w:tc>
        <w:tc>
          <w:tcPr>
            <w:tcW w:type="dxa" w:w="2340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A reproducible framework measures cyberphysical security-attack impact on micromobility vehicles</w:t>
            </w:r>
          </w:p>
        </w:tc>
      </w:tr>
      <w:tr>
        <w:tc>
          <w:tcPr>
            <w:tcW w:type="dxa" w:w="2340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Vinayaga-Sureshkanth et al [23]</w:t>
            </w:r>
          </w:p>
        </w:tc>
        <w:tc>
          <w:tcPr>
            <w:tcW w:type="dxa" w:w="2340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D3 documentary</w:t>
            </w:r>
          </w:p>
        </w:tc>
        <w:tc>
          <w:tcPr>
            <w:tcW w:type="dxa" w:w="2340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Intelligent urban micromobility ecosystem</w:t>
            </w:r>
          </w:p>
        </w:tc>
        <w:tc>
          <w:tcPr>
            <w:tcW w:type="dxa" w:w="2340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The vehicle-provider-rider ecosystem is an exploitable attack surface for security and privacy</w:t>
            </w:r>
          </w:p>
        </w:tc>
      </w:tr>
      <w:tr>
        <w:tc>
          <w:tcPr>
            <w:tcW w:type="dxa" w:w="2340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Yilmaz et al [24]</w:t>
            </w:r>
          </w:p>
        </w:tc>
        <w:tc>
          <w:tcPr>
            <w:tcW w:type="dxa" w:w="2340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D3 documentary</w:t>
            </w:r>
          </w:p>
        </w:tc>
        <w:tc>
          <w:tcPr>
            <w:tcW w:type="dxa" w:w="2340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E-scooter sharing (GPS/Wi-Fi positioning)</w:t>
            </w:r>
          </w:p>
        </w:tc>
        <w:tc>
          <w:tcPr>
            <w:tcW w:type="dxa" w:w="2340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Shared e-scooter positioning inherits known spoofing vulnerabilities</w:t>
            </w:r>
          </w:p>
        </w:tc>
      </w:tr>
      <w:tr>
        <w:tc>
          <w:tcPr>
            <w:tcW w:type="dxa" w:w="2340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Yilmaz et al [5]</w:t>
            </w:r>
          </w:p>
        </w:tc>
        <w:tc>
          <w:tcPr>
            <w:tcW w:type="dxa" w:w="2340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D3 documentary</w:t>
            </w:r>
          </w:p>
        </w:tc>
        <w:tc>
          <w:tcPr>
            <w:tcW w:type="dxa" w:w="2340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E-scooter sharing (geo-location services)</w:t>
            </w:r>
          </w:p>
        </w:tc>
        <w:tc>
          <w:tcPr>
            <w:tcW w:type="dxa" w:w="2340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E-scooter positioning is vulnerable to spoofing affecting cost, reliability, and safety</w:t>
            </w:r>
          </w:p>
        </w:tc>
      </w:tr>
      <w:tr>
        <w:tc>
          <w:tcPr>
            <w:tcW w:type="dxa" w:w="2340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Zhou (2024) [28]</w:t>
            </w:r>
          </w:p>
        </w:tc>
        <w:tc>
          <w:tcPr>
            <w:tcW w:type="dxa" w:w="2340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D3 documentary</w:t>
            </w:r>
          </w:p>
        </w:tc>
        <w:tc>
          <w:tcPr>
            <w:tcW w:type="dxa" w:w="2340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Dockless bikeshare platforms</w:t>
            </w:r>
          </w:p>
        </w:tc>
        <w:tc>
          <w:tcPr>
            <w:tcW w:type="dxa" w:w="2340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Trajectory data extraction is core to bikeshare business models but poorly understood by users</w:t>
            </w:r>
          </w:p>
        </w:tc>
      </w:tr>
      <w:tr>
        <w:tc>
          <w:tcPr>
            <w:tcW w:type="dxa" w:w="2340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Basic et al [10]</w:t>
            </w:r>
          </w:p>
        </w:tc>
        <w:tc>
          <w:tcPr>
            <w:tcW w:type="dxa" w:w="2340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D2 near-domain</w:t>
            </w:r>
          </w:p>
        </w:tc>
        <w:tc>
          <w:tcPr>
            <w:tcW w:type="dxa" w:w="2340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Battery management systems (EV batteries)</w:t>
            </w:r>
          </w:p>
        </w:tc>
        <w:tc>
          <w:tcPr>
            <w:tcW w:type="dxa" w:w="2340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Regulated battery passports generate lifecycle data spanning use, second-life, and recycling</w:t>
            </w:r>
          </w:p>
        </w:tc>
      </w:tr>
      <w:tr>
        <w:tc>
          <w:tcPr>
            <w:tcW w:type="dxa" w:w="2340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Joshi (2018) [8]</w:t>
            </w:r>
          </w:p>
        </w:tc>
        <w:tc>
          <w:tcPr>
            <w:tcW w:type="dxa" w:w="2340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D2 near-domain</w:t>
            </w:r>
          </w:p>
        </w:tc>
        <w:tc>
          <w:tcPr>
            <w:tcW w:type="dxa" w:w="2340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Cloud storage media</w:t>
            </w:r>
          </w:p>
        </w:tc>
        <w:tc>
          <w:tcPr>
            <w:tcW w:type="dxa" w:w="2340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Inadequate media sanitization leaves recoverable residual data via remanence</w:t>
            </w:r>
          </w:p>
        </w:tc>
      </w:tr>
      <w:tr>
        <w:tc>
          <w:tcPr>
            <w:tcW w:type="dxa" w:w="2340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Liu et al [7]</w:t>
            </w:r>
          </w:p>
        </w:tc>
        <w:tc>
          <w:tcPr>
            <w:tcW w:type="dxa" w:w="2340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D2 near-domain</w:t>
            </w:r>
          </w:p>
        </w:tc>
        <w:tc>
          <w:tcPr>
            <w:tcW w:type="dxa" w:w="2340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Used IoT devices (resale market)</w:t>
            </w:r>
          </w:p>
        </w:tc>
        <w:tc>
          <w:tcPr>
            <w:tcW w:type="dxa" w:w="2340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Resold IoT devices frequently retain recoverable sensitive user data</w:t>
            </w:r>
          </w:p>
        </w:tc>
      </w:tr>
      <w:tr>
        <w:tc>
          <w:tcPr>
            <w:tcW w:type="dxa" w:w="2340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Marchiori et al [9]</w:t>
            </w:r>
          </w:p>
        </w:tc>
        <w:tc>
          <w:tcPr>
            <w:tcW w:type="dxa" w:w="2340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D2 near-domain</w:t>
            </w:r>
          </w:p>
        </w:tc>
        <w:tc>
          <w:tcPr>
            <w:tcW w:type="dxa" w:w="2340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Electric vehicles (battery side channel)</w:t>
            </w:r>
          </w:p>
        </w:tc>
        <w:tc>
          <w:tcPr>
            <w:tcW w:type="dxa" w:w="2340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Battery side channels leak operational information without explicit location data</w:t>
            </w:r>
          </w:p>
        </w:tc>
      </w:tr>
    </w:tbl>
    <w:p/>
    <w:p>
      <w:pPr>
        <w:sectPr>
          <w:pgSz w:w="12240" w:h="15840"/>
          <w:pgMar w:top="1440" w:right="1440" w:bottom="1440" w:left="1440" w:header="720" w:footer="720" w:gutter="0"/>
          <w:cols w:space="720"/>
          <w:docGrid w:linePitch="360"/>
        </w:sectPr>
      </w:pPr>
    </w:p>
    <w:p>
      <w:pPr>
        <w:spacing w:before="280" w:after="120"/>
      </w:pPr>
      <w:r>
        <w:rPr>
          <w:b/>
        </w:rPr>
        <w:t>Table 3. GBFS audit sampling and outcomes with 95% Wilson confidence intervals. Denominators are stated explicitly; unavailable or empty feeds are separated from absent fields.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shd w:fill="D9EAF7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rFonts w:ascii="Arial" w:hAnsi="Arial"/>
                <w:b/>
                <w:sz w:val="16"/>
              </w:rPr>
              <w:t>Stratum / outcome</w:t>
            </w:r>
          </w:p>
        </w:tc>
        <w:tc>
          <w:tcPr>
            <w:tcW w:type="dxa" w:w="1872"/>
            <w:shd w:fill="D9EAF7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rFonts w:ascii="Arial" w:hAnsi="Arial"/>
                <w:b/>
                <w:sz w:val="16"/>
              </w:rPr>
              <w:t>n</w:t>
            </w:r>
          </w:p>
        </w:tc>
        <w:tc>
          <w:tcPr>
            <w:tcW w:type="dxa" w:w="1872"/>
            <w:shd w:fill="D9EAF7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rFonts w:ascii="Arial" w:hAnsi="Arial"/>
                <w:b/>
                <w:sz w:val="16"/>
              </w:rPr>
              <w:t>Denominator</w:t>
            </w:r>
          </w:p>
        </w:tc>
        <w:tc>
          <w:tcPr>
            <w:tcW w:type="dxa" w:w="1872"/>
            <w:shd w:fill="D9EAF7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rFonts w:ascii="Arial" w:hAnsi="Arial"/>
                <w:b/>
                <w:sz w:val="16"/>
              </w:rPr>
              <w:t>Percent</w:t>
            </w:r>
          </w:p>
        </w:tc>
        <w:tc>
          <w:tcPr>
            <w:tcW w:type="dxa" w:w="1872"/>
            <w:shd w:fill="D9EAF7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rFonts w:ascii="Arial" w:hAnsi="Arial"/>
                <w:b/>
                <w:sz w:val="16"/>
              </w:rPr>
              <w:t>95% CI</w:t>
            </w:r>
          </w:p>
        </w:tc>
      </w:tr>
      <w:tr>
        <w:tc>
          <w:tcPr>
            <w:tcW w:type="dxa" w:w="1872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Reachable auto-discovery endpoint</w:t>
            </w:r>
          </w:p>
        </w:tc>
        <w:tc>
          <w:tcPr>
            <w:tcW w:type="dxa" w:w="1872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1428</w:t>
            </w:r>
          </w:p>
        </w:tc>
        <w:tc>
          <w:tcPr>
            <w:tcW w:type="dxa" w:w="1872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1520</w:t>
            </w:r>
          </w:p>
        </w:tc>
        <w:tc>
          <w:tcPr>
            <w:tcW w:type="dxa" w:w="1872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94.0%</w:t>
            </w:r>
          </w:p>
        </w:tc>
        <w:tc>
          <w:tcPr>
            <w:tcW w:type="dxa" w:w="1872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92.6-95.0%</w:t>
            </w:r>
          </w:p>
        </w:tc>
      </w:tr>
      <w:tr>
        <w:tc>
          <w:tcPr>
            <w:tcW w:type="dxa" w:w="1872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Vehicle-status feed declared</w:t>
            </w:r>
          </w:p>
        </w:tc>
        <w:tc>
          <w:tcPr>
            <w:tcW w:type="dxa" w:w="1872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1297</w:t>
            </w:r>
          </w:p>
        </w:tc>
        <w:tc>
          <w:tcPr>
            <w:tcW w:type="dxa" w:w="1872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1428</w:t>
            </w:r>
          </w:p>
        </w:tc>
        <w:tc>
          <w:tcPr>
            <w:tcW w:type="dxa" w:w="1872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90.8%</w:t>
            </w:r>
          </w:p>
        </w:tc>
        <w:tc>
          <w:tcPr>
            <w:tcW w:type="dxa" w:w="1872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89.2-92.2%</w:t>
            </w:r>
          </w:p>
        </w:tc>
      </w:tr>
      <w:tr>
        <w:tc>
          <w:tcPr>
            <w:tcW w:type="dxa" w:w="1872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Retrieved feed with &gt;=1 vehicle</w:t>
            </w:r>
          </w:p>
        </w:tc>
        <w:tc>
          <w:tcPr>
            <w:tcW w:type="dxa" w:w="1872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1155</w:t>
            </w:r>
          </w:p>
        </w:tc>
        <w:tc>
          <w:tcPr>
            <w:tcW w:type="dxa" w:w="1872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1291</w:t>
            </w:r>
          </w:p>
        </w:tc>
        <w:tc>
          <w:tcPr>
            <w:tcW w:type="dxa" w:w="1872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89.5%</w:t>
            </w:r>
          </w:p>
        </w:tc>
        <w:tc>
          <w:tcPr>
            <w:tcW w:type="dxa" w:w="1872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87.7-91.0%</w:t>
            </w:r>
          </w:p>
        </w:tc>
      </w:tr>
      <w:tr>
        <w:tc>
          <w:tcPr>
            <w:tcW w:type="dxa" w:w="1872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Vehicle identifier (motorized feeds)</w:t>
            </w:r>
          </w:p>
        </w:tc>
        <w:tc>
          <w:tcPr>
            <w:tcW w:type="dxa" w:w="1872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813</w:t>
            </w:r>
          </w:p>
        </w:tc>
        <w:tc>
          <w:tcPr>
            <w:tcW w:type="dxa" w:w="1872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813</w:t>
            </w:r>
          </w:p>
        </w:tc>
        <w:tc>
          <w:tcPr>
            <w:tcW w:type="dxa" w:w="1872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100.0%</w:t>
            </w:r>
          </w:p>
        </w:tc>
        <w:tc>
          <w:tcPr>
            <w:tcW w:type="dxa" w:w="1872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99.5-100.0%</w:t>
            </w:r>
          </w:p>
        </w:tc>
      </w:tr>
      <w:tr>
        <w:tc>
          <w:tcPr>
            <w:tcW w:type="dxa" w:w="1872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Latitude/longitude (motorized feeds)</w:t>
            </w:r>
          </w:p>
        </w:tc>
        <w:tc>
          <w:tcPr>
            <w:tcW w:type="dxa" w:w="1872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808</w:t>
            </w:r>
          </w:p>
        </w:tc>
        <w:tc>
          <w:tcPr>
            <w:tcW w:type="dxa" w:w="1872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813</w:t>
            </w:r>
          </w:p>
        </w:tc>
        <w:tc>
          <w:tcPr>
            <w:tcW w:type="dxa" w:w="1872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99.4%</w:t>
            </w:r>
          </w:p>
        </w:tc>
        <w:tc>
          <w:tcPr>
            <w:tcW w:type="dxa" w:w="1872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98.6-99.7%</w:t>
            </w:r>
          </w:p>
        </w:tc>
      </w:tr>
      <w:tr>
        <w:tc>
          <w:tcPr>
            <w:tcW w:type="dxa" w:w="1872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Last-reported timestamp (motorized feeds)</w:t>
            </w:r>
          </w:p>
        </w:tc>
        <w:tc>
          <w:tcPr>
            <w:tcW w:type="dxa" w:w="1872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629</w:t>
            </w:r>
          </w:p>
        </w:tc>
        <w:tc>
          <w:tcPr>
            <w:tcW w:type="dxa" w:w="1872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813</w:t>
            </w:r>
          </w:p>
        </w:tc>
        <w:tc>
          <w:tcPr>
            <w:tcW w:type="dxa" w:w="1872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77.4%</w:t>
            </w:r>
          </w:p>
        </w:tc>
        <w:tc>
          <w:tcPr>
            <w:tcW w:type="dxa" w:w="1872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74.4-80.1%</w:t>
            </w:r>
          </w:p>
        </w:tc>
      </w:tr>
      <w:tr>
        <w:tc>
          <w:tcPr>
            <w:tcW w:type="dxa" w:w="1872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Battery/fuel percentage (motorized feeds)</w:t>
            </w:r>
          </w:p>
        </w:tc>
        <w:tc>
          <w:tcPr>
            <w:tcW w:type="dxa" w:w="1872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560</w:t>
            </w:r>
          </w:p>
        </w:tc>
        <w:tc>
          <w:tcPr>
            <w:tcW w:type="dxa" w:w="1872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813</w:t>
            </w:r>
          </w:p>
        </w:tc>
        <w:tc>
          <w:tcPr>
            <w:tcW w:type="dxa" w:w="1872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68.9%</w:t>
            </w:r>
          </w:p>
        </w:tc>
        <w:tc>
          <w:tcPr>
            <w:tcW w:type="dxa" w:w="1872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65.6-72.0%</w:t>
            </w:r>
          </w:p>
        </w:tc>
      </w:tr>
    </w:tbl>
    <w:p/>
    <w:p>
      <w:pPr>
        <w:sectPr>
          <w:pgSz w:w="12240" w:h="15840"/>
          <w:pgMar w:top="1440" w:right="1440" w:bottom="1440" w:left="1440" w:header="720" w:footer="720" w:gutter="0"/>
          <w:cols w:space="720"/>
          <w:docGrid w:linePitch="360"/>
        </w:sectPr>
      </w:pPr>
    </w:p>
    <w:p>
      <w:pPr>
        <w:spacing w:before="280" w:after="120"/>
      </w:pPr>
      <w:r>
        <w:rPr>
          <w:b/>
        </w:rPr>
        <w:t>Table 4. Disclosure-domain coding of public operator privacy notices (n = 13 coded operators). Counts of explicit, partial, and not-found codings per domain; not-found denotes document silence, not evidence that a practice is absent.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fill="D9EAF7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rFonts w:ascii="Arial" w:hAnsi="Arial"/>
                <w:b/>
                <w:sz w:val="16"/>
              </w:rPr>
              <w:t>Disclosure domain</w:t>
            </w:r>
          </w:p>
        </w:tc>
        <w:tc>
          <w:tcPr>
            <w:tcW w:type="dxa" w:w="2340"/>
            <w:shd w:fill="D9EAF7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rFonts w:ascii="Arial" w:hAnsi="Arial"/>
                <w:b/>
                <w:sz w:val="16"/>
              </w:rPr>
              <w:t>Explicit</w:t>
            </w:r>
          </w:p>
        </w:tc>
        <w:tc>
          <w:tcPr>
            <w:tcW w:type="dxa" w:w="2340"/>
            <w:shd w:fill="D9EAF7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rFonts w:ascii="Arial" w:hAnsi="Arial"/>
                <w:b/>
                <w:sz w:val="16"/>
              </w:rPr>
              <w:t>Partial</w:t>
            </w:r>
          </w:p>
        </w:tc>
        <w:tc>
          <w:tcPr>
            <w:tcW w:type="dxa" w:w="2340"/>
            <w:shd w:fill="D9EAF7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rFonts w:ascii="Arial" w:hAnsi="Arial"/>
                <w:b/>
                <w:sz w:val="16"/>
              </w:rPr>
              <w:t>Not found</w:t>
            </w:r>
          </w:p>
        </w:tc>
      </w:tr>
      <w:tr>
        <w:tc>
          <w:tcPr>
            <w:tcW w:type="dxa" w:w="2340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Location</w:t>
            </w:r>
          </w:p>
        </w:tc>
        <w:tc>
          <w:tcPr>
            <w:tcW w:type="dxa" w:w="2340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11</w:t>
            </w:r>
          </w:p>
        </w:tc>
        <w:tc>
          <w:tcPr>
            <w:tcW w:type="dxa" w:w="2340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2</w:t>
            </w:r>
          </w:p>
        </w:tc>
        <w:tc>
          <w:tcPr>
            <w:tcW w:type="dxa" w:w="2340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0</w:t>
            </w:r>
          </w:p>
        </w:tc>
      </w:tr>
      <w:tr>
        <w:tc>
          <w:tcPr>
            <w:tcW w:type="dxa" w:w="2340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Trip/time</w:t>
            </w:r>
          </w:p>
        </w:tc>
        <w:tc>
          <w:tcPr>
            <w:tcW w:type="dxa" w:w="2340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13</w:t>
            </w:r>
          </w:p>
        </w:tc>
        <w:tc>
          <w:tcPr>
            <w:tcW w:type="dxa" w:w="2340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0</w:t>
            </w:r>
          </w:p>
        </w:tc>
        <w:tc>
          <w:tcPr>
            <w:tcW w:type="dxa" w:w="2340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0</w:t>
            </w:r>
          </w:p>
        </w:tc>
      </w:tr>
      <w:tr>
        <w:tc>
          <w:tcPr>
            <w:tcW w:type="dxa" w:w="2340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Vehicle ID</w:t>
            </w:r>
          </w:p>
        </w:tc>
        <w:tc>
          <w:tcPr>
            <w:tcW w:type="dxa" w:w="2340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5</w:t>
            </w:r>
          </w:p>
        </w:tc>
        <w:tc>
          <w:tcPr>
            <w:tcW w:type="dxa" w:w="2340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5</w:t>
            </w:r>
          </w:p>
        </w:tc>
        <w:tc>
          <w:tcPr>
            <w:tcW w:type="dxa" w:w="2340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3</w:t>
            </w:r>
          </w:p>
        </w:tc>
      </w:tr>
      <w:tr>
        <w:tc>
          <w:tcPr>
            <w:tcW w:type="dxa" w:w="2340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Battery/diagnostic</w:t>
            </w:r>
          </w:p>
        </w:tc>
        <w:tc>
          <w:tcPr>
            <w:tcW w:type="dxa" w:w="2340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5</w:t>
            </w:r>
          </w:p>
        </w:tc>
        <w:tc>
          <w:tcPr>
            <w:tcW w:type="dxa" w:w="2340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0</w:t>
            </w:r>
          </w:p>
        </w:tc>
        <w:tc>
          <w:tcPr>
            <w:tcW w:type="dxa" w:w="2340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8</w:t>
            </w:r>
          </w:p>
        </w:tc>
      </w:tr>
      <w:tr>
        <w:tc>
          <w:tcPr>
            <w:tcW w:type="dxa" w:w="2340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Maintenance/repair</w:t>
            </w:r>
          </w:p>
        </w:tc>
        <w:tc>
          <w:tcPr>
            <w:tcW w:type="dxa" w:w="2340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12</w:t>
            </w:r>
          </w:p>
        </w:tc>
        <w:tc>
          <w:tcPr>
            <w:tcW w:type="dxa" w:w="2340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2340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0</w:t>
            </w:r>
          </w:p>
        </w:tc>
      </w:tr>
      <w:tr>
        <w:tc>
          <w:tcPr>
            <w:tcW w:type="dxa" w:w="2340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Account/payment/device</w:t>
            </w:r>
          </w:p>
        </w:tc>
        <w:tc>
          <w:tcPr>
            <w:tcW w:type="dxa" w:w="2340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13</w:t>
            </w:r>
          </w:p>
        </w:tc>
        <w:tc>
          <w:tcPr>
            <w:tcW w:type="dxa" w:w="2340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0</w:t>
            </w:r>
          </w:p>
        </w:tc>
        <w:tc>
          <w:tcPr>
            <w:tcW w:type="dxa" w:w="2340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0</w:t>
            </w:r>
          </w:p>
        </w:tc>
      </w:tr>
      <w:tr>
        <w:tc>
          <w:tcPr>
            <w:tcW w:type="dxa" w:w="2340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Analytics/profiling</w:t>
            </w:r>
          </w:p>
        </w:tc>
        <w:tc>
          <w:tcPr>
            <w:tcW w:type="dxa" w:w="2340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12</w:t>
            </w:r>
          </w:p>
        </w:tc>
        <w:tc>
          <w:tcPr>
            <w:tcW w:type="dxa" w:w="2340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2340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0</w:t>
            </w:r>
          </w:p>
        </w:tc>
      </w:tr>
      <w:tr>
        <w:tc>
          <w:tcPr>
            <w:tcW w:type="dxa" w:w="2340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Retention</w:t>
            </w:r>
          </w:p>
        </w:tc>
        <w:tc>
          <w:tcPr>
            <w:tcW w:type="dxa" w:w="2340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13</w:t>
            </w:r>
          </w:p>
        </w:tc>
        <w:tc>
          <w:tcPr>
            <w:tcW w:type="dxa" w:w="2340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0</w:t>
            </w:r>
          </w:p>
        </w:tc>
        <w:tc>
          <w:tcPr>
            <w:tcW w:type="dxa" w:w="2340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0</w:t>
            </w:r>
          </w:p>
        </w:tc>
      </w:tr>
      <w:tr>
        <w:tc>
          <w:tcPr>
            <w:tcW w:type="dxa" w:w="2340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Processors/contractors</w:t>
            </w:r>
          </w:p>
        </w:tc>
        <w:tc>
          <w:tcPr>
            <w:tcW w:type="dxa" w:w="2340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13</w:t>
            </w:r>
          </w:p>
        </w:tc>
        <w:tc>
          <w:tcPr>
            <w:tcW w:type="dxa" w:w="2340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0</w:t>
            </w:r>
          </w:p>
        </w:tc>
        <w:tc>
          <w:tcPr>
            <w:tcW w:type="dxa" w:w="2340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0</w:t>
            </w:r>
          </w:p>
        </w:tc>
      </w:tr>
      <w:tr>
        <w:tc>
          <w:tcPr>
            <w:tcW w:type="dxa" w:w="2340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Intl transfer</w:t>
            </w:r>
          </w:p>
        </w:tc>
        <w:tc>
          <w:tcPr>
            <w:tcW w:type="dxa" w:w="2340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10</w:t>
            </w:r>
          </w:p>
        </w:tc>
        <w:tc>
          <w:tcPr>
            <w:tcW w:type="dxa" w:w="2340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3</w:t>
            </w:r>
          </w:p>
        </w:tc>
        <w:tc>
          <w:tcPr>
            <w:tcW w:type="dxa" w:w="2340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0</w:t>
            </w:r>
          </w:p>
        </w:tc>
      </w:tr>
      <w:tr>
        <w:tc>
          <w:tcPr>
            <w:tcW w:type="dxa" w:w="2340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Data-subject rights</w:t>
            </w:r>
          </w:p>
        </w:tc>
        <w:tc>
          <w:tcPr>
            <w:tcW w:type="dxa" w:w="2340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9</w:t>
            </w:r>
          </w:p>
        </w:tc>
        <w:tc>
          <w:tcPr>
            <w:tcW w:type="dxa" w:w="2340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3</w:t>
            </w:r>
          </w:p>
        </w:tc>
        <w:tc>
          <w:tcPr>
            <w:tcW w:type="dxa" w:w="2340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1</w:t>
            </w:r>
          </w:p>
        </w:tc>
      </w:tr>
      <w:tr>
        <w:tc>
          <w:tcPr>
            <w:tcW w:type="dxa" w:w="2340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Incident contact</w:t>
            </w:r>
          </w:p>
        </w:tc>
        <w:tc>
          <w:tcPr>
            <w:tcW w:type="dxa" w:w="2340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11</w:t>
            </w:r>
          </w:p>
        </w:tc>
        <w:tc>
          <w:tcPr>
            <w:tcW w:type="dxa" w:w="2340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2</w:t>
            </w:r>
          </w:p>
        </w:tc>
        <w:tc>
          <w:tcPr>
            <w:tcW w:type="dxa" w:w="2340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0</w:t>
            </w:r>
          </w:p>
        </w:tc>
      </w:tr>
      <w:tr>
        <w:tc>
          <w:tcPr>
            <w:tcW w:type="dxa" w:w="2340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Vulnerability disclosure</w:t>
            </w:r>
          </w:p>
        </w:tc>
        <w:tc>
          <w:tcPr>
            <w:tcW w:type="dxa" w:w="2340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0</w:t>
            </w:r>
          </w:p>
        </w:tc>
        <w:tc>
          <w:tcPr>
            <w:tcW w:type="dxa" w:w="2340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0</w:t>
            </w:r>
          </w:p>
        </w:tc>
        <w:tc>
          <w:tcPr>
            <w:tcW w:type="dxa" w:w="2340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13</w:t>
            </w:r>
          </w:p>
        </w:tc>
      </w:tr>
      <w:tr>
        <w:tc>
          <w:tcPr>
            <w:tcW w:type="dxa" w:w="2340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Return/recycling/disposal</w:t>
            </w:r>
          </w:p>
        </w:tc>
        <w:tc>
          <w:tcPr>
            <w:tcW w:type="dxa" w:w="2340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0</w:t>
            </w:r>
          </w:p>
        </w:tc>
        <w:tc>
          <w:tcPr>
            <w:tcW w:type="dxa" w:w="2340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0</w:t>
            </w:r>
          </w:p>
        </w:tc>
        <w:tc>
          <w:tcPr>
            <w:tcW w:type="dxa" w:w="2340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13</w:t>
            </w:r>
          </w:p>
        </w:tc>
      </w:tr>
    </w:tbl>
    <w:p/>
    <w:p>
      <w:pPr>
        <w:sectPr>
          <w:pgSz w:w="12240" w:h="15840"/>
          <w:pgMar w:top="1440" w:right="1440" w:bottom="1440" w:left="1440" w:header="720" w:footer="720" w:gutter="0"/>
          <w:cols w:space="720"/>
          <w:docGrid w:linePitch="360"/>
        </w:sectPr>
      </w:pPr>
    </w:p>
    <w:p>
      <w:pPr>
        <w:spacing w:before="280" w:after="120"/>
      </w:pPr>
      <w:r>
        <w:rPr>
          <w:b/>
        </w:rPr>
        <w:t>Table 5. Evidence-to-control traceability across the lifecycle model. Effectiveness evidence is stated conservatively; the proposed controls have not been empirically validated in this study.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shd w:fill="D9EAF7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rFonts w:ascii="Arial" w:hAnsi="Arial"/>
                <w:b/>
                <w:sz w:val="16"/>
              </w:rPr>
              <w:t>Lifecycle stage</w:t>
            </w:r>
          </w:p>
        </w:tc>
        <w:tc>
          <w:tcPr>
            <w:tcW w:type="dxa" w:w="1872"/>
            <w:shd w:fill="D9EAF7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rFonts w:ascii="Arial" w:hAnsi="Arial"/>
                <w:b/>
                <w:sz w:val="16"/>
              </w:rPr>
              <w:t>Exposure path</w:t>
            </w:r>
          </w:p>
        </w:tc>
        <w:tc>
          <w:tcPr>
            <w:tcW w:type="dxa" w:w="1872"/>
            <w:shd w:fill="D9EAF7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rFonts w:ascii="Arial" w:hAnsi="Arial"/>
                <w:b/>
                <w:sz w:val="16"/>
              </w:rPr>
              <w:t>Supporting evidence (distance)</w:t>
            </w:r>
          </w:p>
        </w:tc>
        <w:tc>
          <w:tcPr>
            <w:tcW w:type="dxa" w:w="1872"/>
            <w:shd w:fill="D9EAF7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rFonts w:ascii="Arial" w:hAnsi="Arial"/>
                <w:b/>
                <w:sz w:val="16"/>
              </w:rPr>
              <w:t>Proposed control</w:t>
            </w:r>
          </w:p>
        </w:tc>
        <w:tc>
          <w:tcPr>
            <w:tcW w:type="dxa" w:w="1872"/>
            <w:shd w:fill="D9EAF7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rFonts w:ascii="Arial" w:hAnsi="Arial"/>
                <w:b/>
                <w:sz w:val="16"/>
              </w:rPr>
              <w:t>Effectiveness evidence</w:t>
            </w:r>
          </w:p>
        </w:tc>
      </w:tr>
      <w:tr>
        <w:tc>
          <w:tcPr>
            <w:tcW w:type="dxa" w:w="1872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Procurement</w:t>
            </w:r>
          </w:p>
        </w:tc>
        <w:tc>
          <w:tcPr>
            <w:tcW w:type="dxa" w:w="1872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Contract and provenance terms set who can access backend data</w:t>
            </w:r>
          </w:p>
        </w:tc>
        <w:tc>
          <w:tcPr>
            <w:tcW w:type="dxa" w:w="1872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Governance guidance (N) [16,19]</w:t>
            </w:r>
          </w:p>
        </w:tc>
        <w:tc>
          <w:tcPr>
            <w:tcW w:type="dxa" w:w="1872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Provenance and access clauses; data-processing terms</w:t>
            </w:r>
          </w:p>
        </w:tc>
        <w:tc>
          <w:tcPr>
            <w:tcW w:type="dxa" w:w="1872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Not validated; governance-based</w:t>
            </w:r>
          </w:p>
        </w:tc>
      </w:tr>
      <w:tr>
        <w:tc>
          <w:tcPr>
            <w:tcW w:type="dxa" w:w="1872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Deployment</w:t>
            </w:r>
          </w:p>
        </w:tc>
        <w:tc>
          <w:tcPr>
            <w:tcW w:type="dxa" w:w="1872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Feed configuration determines which fields are published</w:t>
            </w:r>
          </w:p>
        </w:tc>
        <w:tc>
          <w:tcPr>
            <w:tcW w:type="dxa" w:w="1872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GBFS field presence (D4) [2,12]</w:t>
            </w:r>
          </w:p>
        </w:tc>
        <w:tc>
          <w:tcPr>
            <w:tcW w:type="dxa" w:w="1872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Field minimization; coarse or delayed positions</w:t>
            </w:r>
          </w:p>
        </w:tc>
        <w:tc>
          <w:tcPr>
            <w:tcW w:type="dxa" w:w="1872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Not validated; design-based</w:t>
            </w:r>
          </w:p>
        </w:tc>
      </w:tr>
      <w:tr>
        <w:tc>
          <w:tcPr>
            <w:tcW w:type="dxa" w:w="1872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Operation</w:t>
            </w:r>
          </w:p>
        </w:tc>
        <w:tc>
          <w:tcPr>
            <w:tcW w:type="dxa" w:w="1872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Identifiers, positions, and timestamps enable tracking and re-identification</w:t>
            </w:r>
          </w:p>
        </w:tc>
        <w:tc>
          <w:tcPr>
            <w:tcW w:type="dxa" w:w="1872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Empirical audits (D4) [2,3]; mobility re-identification (D2) [1]</w:t>
            </w:r>
          </w:p>
        </w:tc>
        <w:tc>
          <w:tcPr>
            <w:tcW w:type="dxa" w:w="1872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Local processing; access and retention limits</w:t>
            </w:r>
          </w:p>
        </w:tc>
        <w:tc>
          <w:tcPr>
            <w:tcW w:type="dxa" w:w="1872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Partly supported by attack studies; controls not validated</w:t>
            </w:r>
          </w:p>
        </w:tc>
      </w:tr>
      <w:tr>
        <w:tc>
          <w:tcPr>
            <w:tcW w:type="dxa" w:w="1872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Maintenance/service</w:t>
            </w:r>
          </w:p>
        </w:tc>
        <w:tc>
          <w:tcPr>
            <w:tcW w:type="dxa" w:w="1872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Contractor access to devices and records</w:t>
            </w:r>
          </w:p>
        </w:tc>
        <w:tc>
          <w:tcPr>
            <w:tcW w:type="dxa" w:w="1872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Forensic and platform studies (D3-D4) [6,22]</w:t>
            </w:r>
          </w:p>
        </w:tc>
        <w:tc>
          <w:tcPr>
            <w:tcW w:type="dxa" w:w="1872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Controlled contractor access; audit logging</w:t>
            </w:r>
          </w:p>
        </w:tc>
        <w:tc>
          <w:tcPr>
            <w:tcW w:type="dxa" w:w="1872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Not validated</w:t>
            </w:r>
          </w:p>
        </w:tc>
      </w:tr>
      <w:tr>
        <w:tc>
          <w:tcPr>
            <w:tcW w:type="dxa" w:w="1872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Recall/return</w:t>
            </w:r>
          </w:p>
        </w:tc>
        <w:tc>
          <w:tcPr>
            <w:tcW w:type="dxa" w:w="1872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Returned units retain stored data</w:t>
            </w:r>
          </w:p>
        </w:tc>
        <w:tc>
          <w:tcPr>
            <w:tcW w:type="dxa" w:w="1872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IoT reuse study (D2) [7]</w:t>
            </w:r>
          </w:p>
        </w:tc>
        <w:tc>
          <w:tcPr>
            <w:tcW w:type="dxa" w:w="1872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Chain-of-custody for returned units</w:t>
            </w:r>
          </w:p>
        </w:tc>
        <w:tc>
          <w:tcPr>
            <w:tcW w:type="dxa" w:w="1872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Not validated; analogy-based</w:t>
            </w:r>
          </w:p>
        </w:tc>
      </w:tr>
      <w:tr>
        <w:tc>
          <w:tcPr>
            <w:tcW w:type="dxa" w:w="1872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Second-life/disposal</w:t>
            </w:r>
          </w:p>
        </w:tc>
        <w:tc>
          <w:tcPr>
            <w:tcW w:type="dxa" w:w="1872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Residual data on storage and batteries</w:t>
            </w:r>
          </w:p>
        </w:tc>
        <w:tc>
          <w:tcPr>
            <w:tcW w:type="dxa" w:w="1872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Data remanence and battery side-channel (D2) [8-10]; sanitization guidance (N) [18]</w:t>
            </w:r>
          </w:p>
        </w:tc>
        <w:tc>
          <w:tcPr>
            <w:tcW w:type="dxa" w:w="1872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Verified media sanitization before resale or recycling</w:t>
            </w:r>
          </w:p>
        </w:tc>
        <w:tc>
          <w:tcPr>
            <w:tcW w:type="dxa" w:w="1872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Not validated; standards-based</w:t>
            </w:r>
          </w:p>
        </w:tc>
      </w:tr>
    </w:tbl>
    <w:p/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120"/>
    </w:pPr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Times New Roman" w:hAnsi="Times New Roman" w:eastAsia="Times New Roman"/>
      <w:color w:val="000000"/>
      <w:spacing w:val="5"/>
      <w:kern w:val="28"/>
      <w:sz w:val="3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