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Editable tables</w:t>
      </w:r>
    </w:p>
    <w:p>
      <w:pPr>
        <w:spacing w:before="280" w:after="120"/>
      </w:pPr>
      <w:r>
        <w:rPr>
          <w:b/>
        </w:rPr>
        <w:t>Table 1. Eligibility criteria and data sources for the three study components.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Component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Unit of analysis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Inclusion criteria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Primary source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Scoping review (WP1)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Peer-reviewed or archival works reporting a data path in or transferable to shared micromobility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Bibliographic search of 2,169 records (Arksey and O'Malley 2005; Tricco et al. 2018)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GBFS field audit (WP2)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System/feed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 GBFS systems in the frozen registry with a reachable auto-discovery endpoint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GBFS systems catalogue and live feeds (MobilityData 2024; MobilityData 2026)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Disclosure audit (WP3)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Operator document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Publicly reachable operator privacy notice for an audited GBFS operator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Operator privacy notices; governance guidance (European Data Protection Board 2021; Open Mobility Foundation 2021)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2. Included direct studies (n = 18), ordered by evidence distance. Key results are as reported by the source; this review did not reproduce the underlying experiments.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Study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Evidence distance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Device or service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Reported key result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Casagrande et al (2023)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Xiaomi e-scooter ecosystem and Mi Home app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Proprietary BLE protocol exploitable to steal or disable scooters and expose data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Casagrande et al (2024)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Xiaomi M365 and ES3 e-scooters with companion app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Battery-powered embedded internals expose tracking, DoS, ransomware, and data-leak surfaces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Elzer et al (2025)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Shared e-scooter and e-bike systems (public provider feeds)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 feed state changes reconstruct individual mobility patterns exploitable for stalking or burglary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Hilgert et al (2021)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Micromobility rental apps (bikes and e-scooters)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Micromobility apps retain recoverable movement and account artifacts of investigative value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Vinayaga-Sureshkanth et al (2022)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Mobile e-scooter rental applications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Rental apps collect privacy-sensitive data as a functional requirement and embed third-party trackers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Hannemann et al (2023)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Smart-mobility platforms (incl. rental bikes, e-scooters)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Smart mobility shares sensitive personal data across parties; FHE mitigations remain costly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Isik et al (2023)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platforms (ESPs)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ESP architecture exposes resource abuse, DoS, and personal-data breach surfaces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 et al (2020)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platforms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Traceable route information drives distinct privacy concern and protective responses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Petersen (2019) (2019)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Rental scooters (Bird, Lime, Spin)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Rental scooters yield a uniquely identifying rider dataset that may be shared or sold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Sato et al (2025)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Micromobility vehicles (data-acquisition testbed)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reproducible framework measures cyberphysical security-attack impact on micromobility vehicles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Vinayaga-Sureshkanth et al (2020)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Intelligent urban micromobility ecosystem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vehicle-provider-rider ecosystem is an exploitable attack surface for security and privacy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Yilmaz et al (2022)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(GPS/Wi-Fi positioning)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Shared e-scooter positioning inherits known spoofing vulnerabilities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Yilmaz et al (2023)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(geo-location services)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positioning is vulnerable to spoofing affecting cost, reliability, and safety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Zhou (2024) (2024)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Dockless bikeshare platforms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Trajectory data extraction is core to bikeshare business models but poorly understood by users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Basic et al (2023)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 management systems (EV batteries)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Regulated battery passports generate lifecycle data spanning use, second-life, and recycling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Joshi (2018) (2018)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Cloud storage media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Inadequate media sanitization leaves recoverable residual data via remanence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Liu et al (2023)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Used IoT devices (resale market)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Resold IoT devices frequently retain recoverable sensitive user data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Marchiori et al (2025)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Electric vehicles (battery side channel)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 side channels leak operational information without explicit location data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3. GBFS audit sampling and outcomes with 95% Wilson confidence intervals. Denominators are stated explicitly; unavailable or empty feeds are separated from absent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Stratum / outcome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Denominator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Percent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95% CI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Reachable auto-discovery endpoint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1428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1520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94.0%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92.6-95.0%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Vehicle-status feed declared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1297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1428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90.8%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89.2-92.2%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Retrieved feed with &gt;=1 vehicle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1155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1291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89.5%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87.7-91.0%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Vehicle identifier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100.0%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99.5-100.0%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Latitude/longitude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808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99.4%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98.6-99.7%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Last-reported timestamp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629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77.4%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74.4-80.1%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Battery/fuel percentage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560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68.9%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65.6-72.0%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4. Disclosure-domain coding of public operator privacy notices (n = 13 coded operators). Counts of explicit, partial, and not-found codings per domain; not-found denotes document silence, not evidence that a practice is absent.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Disclosure domain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Explicit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Partial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Not found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Location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Trip/time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Vehicle ID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Battery/diagnostic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Maintenance/repair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Account/payment/device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Analytics/profiling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Retention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Processors/contractors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Intl transfer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Data-subject rights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Incident contact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Vulnerability disclosure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Return/recycling/disposal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5. Evidence-to-control traceability across the lifecycle model. Effectiveness evidence is stated conservatively; the proposed controls have not been empirically validated in this study.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Lifecycle stage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Exposure path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Supporting evidence (distance)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Proposed control</w:t>
            </w:r>
          </w:p>
        </w:tc>
        <w:tc>
          <w:tcPr>
            <w:tcW w:type="dxa" w:w="18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Effectiveness evidence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Procurement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Contract and provenance terms set who can access backend data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Governance guidance (N) (Boyens et al. 2022; European Data Protection Board 2021)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Provenance and access clauses; data-processing terms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governance-based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Deployment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Feed configuration determines which fields are published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GBFS field presence (D4) (Elzer et al. 2025; MobilityData 2024)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Field minimization; coarse or delayed positions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design-based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Operation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Identifiers, positions, and timestamps enable tracking and re-identification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Empirical audits (D4) (Elzer et al. 2025; Vinayaga-Sureshkanth et al. 2022); mobility re-identification (D2) (de Montjoye et al. 2013)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Local processing; access and retention limits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Partly supported by attack studies; controls not validated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Maintenance/service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Contractor access to devices and records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Forensic and platform studies (D3-D4) (Hilgert et al. 2021; Isik et al. 2023)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Controlled contractor access; audit logging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Recall/return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Returned units retain stored data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IoT reuse study (D2) (Liu et al. 2023)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Chain-of-custody for returned units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analogy-based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Second-life/disposal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Residual data on storage and batteries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 remanence and battery side-channel (D2) (Basic et al. 2023; Joshi and Raval 2018; Marchiori et al. 2025); sanitization guidance (N) (Kissel et al. 2014)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Verified media sanitization before resale or recycling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standards-based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