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Lifecycle Data Exposure in Shared Micromobility: A Scoping Review and a Global Audit of Public GBFS Vehicle Feeds and Operator Disclosures</w:t>
      </w:r>
    </w:p>
    <w:p/>
    <w:p>
      <w:pPr>
        <w:jc w:val="center"/>
      </w:pPr>
      <w:r>
        <w:rPr>
          <w:b/>
        </w:rPr>
        <w:t>[Author name]</w:t>
      </w:r>
    </w:p>
    <w:p>
      <w:pPr>
        <w:jc w:val="center"/>
      </w:pPr>
      <w:r>
        <w:rPr>
          <w:b w:val="0"/>
        </w:rPr>
        <w:t>[Department, institution, city, postal code, country]</w:t>
      </w:r>
    </w:p>
    <w:p>
      <w:pPr>
        <w:jc w:val="center"/>
      </w:pPr>
      <w:r>
        <w:rPr>
          <w:b w:val="0"/>
        </w:rPr>
        <w:t>Corresponding author: [Author name]; [Corresponding author email]</w:t>
      </w:r>
    </w:p>
    <w:p>
      <w:pPr>
        <w:jc w:val="center"/>
      </w:pPr>
      <w:r>
        <w:rPr>
          <w:b w:val="0"/>
        </w:rPr>
        <w:t>ORCID: [ORCID]</w:t>
      </w:r>
    </w:p>
    <w:p/>
    <w:p>
      <w:r>
        <w:rPr>
          <w:b/>
        </w:rPr>
        <w:t xml:space="preserve">Full title: </w:t>
      </w:r>
      <w:r>
        <w:t>Lifecycle Data Exposure in Shared Micromobility: A Scoping Review and a Global Audit of Public GBFS Vehicle Feeds and Operator Disclosures</w:t>
      </w:r>
    </w:p>
    <w:p>
      <w:r>
        <w:rPr>
          <w:b/>
        </w:rPr>
        <w:t xml:space="preserve">Short title: </w:t>
      </w:r>
      <w:r>
        <w:t>Lifecycle data exposure in shared micromobility</w:t>
      </w:r>
    </w:p>
    <w:p>
      <w:r>
        <w:rPr>
          <w:b/>
        </w:rPr>
        <w:t xml:space="preserve">Article type: </w:t>
      </w:r>
      <w:r>
        <w:t>Research Article</w:t>
      </w:r>
    </w:p>
    <w:p>
      <w:r>
        <w:rPr>
          <w:b/>
        </w:rPr>
        <w:t xml:space="preserve">Journal: </w:t>
      </w:r>
      <w:r>
        <w:t>Data &amp; Policy (Cambridge University Press)</w:t>
      </w:r>
    </w:p>
    <w:p>
      <w:r>
        <w:rPr>
          <w:b/>
        </w:rPr>
        <w:t xml:space="preserve">Area of interest: </w:t>
      </w:r>
      <w:r>
        <w:t>Area 4: Ethics, Equity and Trustworthiness of Data</w:t>
      </w:r>
    </w:p>
    <w:p>
      <w:r>
        <w:rPr>
          <w:b/>
        </w:rPr>
        <w:t xml:space="preserve">Peer review: </w:t>
      </w:r>
      <w:r>
        <w:t>Single-blind; the manuscript is not anonymized</w:t>
      </w:r>
    </w:p>
    <w:p>
      <w:r>
        <w:rPr>
          <w:b/>
        </w:rPr>
        <w:t xml:space="preserve">Abstract word count: </w:t>
      </w:r>
      <w:r>
        <w:t>214</w:t>
      </w:r>
    </w:p>
    <w:p>
      <w:r>
        <w:rPr>
          <w:b/>
        </w:rPr>
        <w:t xml:space="preserve">Policy Significance Statement word count: </w:t>
      </w:r>
      <w:r>
        <w:t>121</w:t>
      </w:r>
    </w:p>
    <w:p>
      <w:r>
        <w:rPr>
          <w:b/>
        </w:rPr>
        <w:t xml:space="preserve">Main-text word count (excludes references): </w:t>
      </w:r>
      <w:r>
        <w:t>2495</w:t>
      </w:r>
    </w:p>
    <w:p>
      <w:r>
        <w:rPr>
          <w:b/>
        </w:rPr>
        <w:t xml:space="preserve">Figures: </w:t>
      </w:r>
      <w:r>
        <w:t>5</w:t>
      </w:r>
    </w:p>
    <w:p>
      <w:r>
        <w:rPr>
          <w:b/>
        </w:rPr>
        <w:t xml:space="preserve">Tables: </w:t>
      </w:r>
      <w:r>
        <w:t>5</w:t>
      </w:r>
    </w:p>
    <w:p>
      <w:r>
        <w:rPr>
          <w:b/>
        </w:rPr>
        <w:t xml:space="preserve">References: </w:t>
      </w:r>
      <w:r>
        <w:t>30</w:t>
      </w:r>
    </w:p>
    <w:p>
      <w:r>
        <w:rPr>
          <w:b/>
        </w:rPr>
        <w:t xml:space="preserve">Funding: </w:t>
      </w:r>
      <w:r>
        <w:t>None</w:t>
      </w:r>
    </w:p>
    <w:p>
      <w:r>
        <w:rPr>
          <w:b/>
        </w:rPr>
        <w:t xml:space="preserve">Competing interests: </w:t>
      </w:r>
      <w:r>
        <w:t>None declared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