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2.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Figure 1.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1).</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3" name="Picture 3"/>
            <wp:cNvGraphicFramePr>
              <a:graphicFrameLocks noChangeAspect="1"/>
            </wp:cNvGraphicFramePr>
            <a:graphic>
              <a:graphicData uri="http://schemas.openxmlformats.org/drawingml/2006/picture">
                <pic:pic>
                  <pic:nvPicPr>
                    <pic:cNvPr id="0" name="fig4_direction_comparison.png"/>
                    <pic:cNvPicPr/>
                  </pic:nvPicPr>
                  <pic:blipFill>
                    <a:blip r:embed="rId11"/>
                    <a:stretch>
                      <a:fillRect/>
                    </a:stretch>
                  </pic:blipFill>
                  <pic:spPr>
                    <a:xfrm>
                      <a:off x="0" y="0"/>
                      <a:ext cx="5029200" cy="2515806"/>
                    </a:xfrm>
                    <a:prstGeom prst="rect"/>
                  </pic:spPr>
                </pic:pic>
              </a:graphicData>
            </a:graphic>
          </wp:inline>
        </w:drawing>
      </w:r>
    </w:p>
    <w:p>
      <w:pPr>
        <w:spacing w:before="80" w:after="240"/>
        <w:jc w:val="center"/>
      </w:pPr>
      <w:r>
        <w:rPr>
          <w:i/>
          <w:sz w:val="18"/>
        </w:rPr>
        <w:t>Figure 3. Three-method causal direction comparison across all edge pairs.</w:t>
      </w:r>
    </w:p>
    <w:p>
      <w:r>
        <w:t>Comparing causal directions estimated by LiNGAM (DAG), spectral causality (α = 0.6), and DPI (α = 0) (Figure 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4" name="Picture 4"/>
            <wp:cNvGraphicFramePr>
              <a:graphicFrameLocks noChangeAspect="1"/>
            </wp:cNvGraphicFramePr>
            <a:graphic>
              <a:graphicData uri="http://schemas.openxmlformats.org/drawingml/2006/picture">
                <pic:pic>
                  <pic:nvPicPr>
                    <pic:cNvPr id="0" name="fig7_lingam_vs_spectral.png"/>
                    <pic:cNvPicPr/>
                  </pic:nvPicPr>
                  <pic:blipFill>
                    <a:blip r:embed="rId12"/>
                    <a:stretch>
                      <a:fillRect/>
                    </a:stretch>
                  </pic:blipFill>
                  <pic:spPr>
                    <a:xfrm>
                      <a:off x="0" y="0"/>
                      <a:ext cx="5029200" cy="2187657"/>
                    </a:xfrm>
                    <a:prstGeom prst="rect"/>
                  </pic:spPr>
                </pic:pic>
              </a:graphicData>
            </a:graphic>
          </wp:inline>
        </w:drawing>
      </w:r>
    </w:p>
    <w:p>
      <w:pPr>
        <w:spacing w:before="80" w:after="240"/>
        <w:jc w:val="center"/>
      </w:pPr>
      <w:r>
        <w:rPr>
          <w:i/>
          <w:sz w:val="18"/>
        </w:rPr>
        <w:t>Figure 4. LiNGAM DAG (left) vs. Spectral Causality DCG (right). Dashed lines: feedback edges.</w:t>
      </w:r>
    </w:p>
    <w:p>
      <w:r>
        <w:t xml:space="preserve">When spectral causality suggests a direction opposite to LiNGAM (Figure 4),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5),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5" name="Picture 5"/>
            <wp:cNvGraphicFramePr>
              <a:graphicFrameLocks noChangeAspect="1"/>
            </wp:cNvGraphicFramePr>
            <a:graphic>
              <a:graphicData uri="http://schemas.openxmlformats.org/drawingml/2006/picture">
                <pic:pic>
                  <pic:nvPicPr>
                    <pic:cNvPr id="0" name="fig9_ecd_pruning_analysis.png"/>
                    <pic:cNvPicPr/>
                  </pic:nvPicPr>
                  <pic:blipFill>
                    <a:blip r:embed="rId13"/>
                    <a:stretch>
                      <a:fillRect/>
                    </a:stretch>
                  </pic:blipFill>
                  <pic:spPr>
                    <a:xfrm>
                      <a:off x="0" y="0"/>
                      <a:ext cx="5029200" cy="4481653"/>
                    </a:xfrm>
                    <a:prstGeom prst="rect"/>
                  </pic:spPr>
                </pic:pic>
              </a:graphicData>
            </a:graphic>
          </wp:inline>
        </w:drawing>
      </w:r>
    </w:p>
    <w:p>
      <w:pPr>
        <w:spacing w:before="80" w:after="240"/>
        <w:jc w:val="center"/>
      </w:pPr>
      <w:r>
        <w:rPr>
          <w:i/>
          <w:sz w:val="18"/>
        </w:rPr>
        <w:t>Figure 5.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pPr>
        <w:pStyle w:val="Heading2"/>
      </w:pPr>
      <w:r>
        <w:t>8.3 Purpose-Dependent Pruning Thresholds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