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Methods</w:t>
      </w:r>
    </w:p>
    <w:p>
      <w:pPr>
        <w:pStyle w:val="Heading2"/>
      </w:pPr>
      <w:r>
        <w:rPr>
          <w:rFonts w:ascii="Times New Roman" w:hAnsi="Times New Roman"/>
          <w:color w:val="000000"/>
        </w:rPr>
        <w:t>Statistical Analysis</w:t>
      </w:r>
    </w:p>
    <w:p>
      <w:r>
        <w:rPr>
          <w:rFonts w:ascii="Times New Roman" w:hAnsi="Times New Roman"/>
          <w:b w:val="0"/>
          <w:i w:val="0"/>
          <w:sz w:val="24"/>
        </w:rPr>
        <w:t>Continuous variables were described as mean ± standard deviation (SD) or median with interquartile range (IQR), depending on the distribution. Categorical variables were expressed as frequencies and percentages. The Shapiro–Wilk test was used to evaluate the normality of continuous variables.</w:t>
      </w:r>
    </w:p>
    <w:p>
      <w:r>
        <w:rPr>
          <w:rFonts w:ascii="Times New Roman" w:hAnsi="Times New Roman"/>
          <w:b w:val="0"/>
          <w:i w:val="0"/>
          <w:sz w:val="24"/>
        </w:rPr>
        <w:t>Univariate comparisons between groups were performed using the Mann–Whitney U test for continuous variables and the chi-squared test for categorical variables. Spearman rank correlation coefficients were calculated to assess monotonic associations between continuous predictors and estimated blood loss (EBL). The Kruskal–Wallis test was used for comparisons across three or more groups.</w:t>
      </w:r>
    </w:p>
    <w:p>
      <w:r>
        <w:rPr>
          <w:rFonts w:ascii="Times New Roman" w:hAnsi="Times New Roman"/>
          <w:b w:val="0"/>
          <w:i w:val="0"/>
          <w:sz w:val="24"/>
        </w:rPr>
        <w:t>To identify independent predictors of EBL, multivariable linear regression was performed using log-transformed EBL as the dependent variable. Coefficients were back-transformed and expressed as percentage changes in EBL with 95% confidence intervals (CIs). Multivariable logistic regression was used to identify independent risk factors for two binary outcomes: (1) intraoperative transfusion and (2) massive hemorrhage, defined as EBL ≥ 1500 mL. Results were expressed as odds ratios (ORs) with 95% CIs. The following covariates were included in all multivariable models: age, body mass index (BMI), gestational age, emergency vs. elective surgery, prior cesarean delivery, hypertensive disorders of pregnancy (HDP), placenta previa or low-lying placenta, epidural anesthesia, and surgical duration. The number of intraoperative hypotension episodes was additionally included in the linear regression model for EBL.</w:t>
      </w:r>
    </w:p>
    <w:p>
      <w:r>
        <w:rPr>
          <w:rFonts w:ascii="Times New Roman" w:hAnsi="Times New Roman"/>
          <w:b w:val="0"/>
          <w:i w:val="0"/>
          <w:sz w:val="24"/>
        </w:rPr>
        <w:t>Model discrimination was evaluated using the area under the receiver operating characteristic curve (AUC). Temporal trends in blood loss, transfusion rate, and massive hemorrhage rate were assessed using Pearson correlation with year and compared between the early (2014–2018) and late (2019–2024) periods using the Mann–Whitney U test for continuous outcomes and the chi-squared test for proportions.</w:t>
      </w:r>
    </w:p>
    <w:p>
      <w:r>
        <w:rPr>
          <w:rFonts w:ascii="Times New Roman" w:hAnsi="Times New Roman"/>
          <w:b w:val="0"/>
          <w:i w:val="0"/>
          <w:sz w:val="24"/>
        </w:rPr>
        <w:t>All tests were two-sided, and P &lt; 0.05 was considered statistically significant. Statistical analyses were performed using Python 3.12 with SciPy 1.17, statsmodels 0.14, and scikit-learn 1.8.</w:t>
      </w:r>
    </w:p>
    <w:p>
      <w:pPr>
        <w:pStyle w:val="Heading1"/>
      </w:pPr>
      <w:r>
        <w:rPr>
          <w:rFonts w:ascii="Times New Roman" w:hAnsi="Times New Roman"/>
          <w:color w:val="000000"/>
        </w:rPr>
        <w:t>Results</w:t>
      </w:r>
    </w:p>
    <w:p>
      <w:pPr>
        <w:pStyle w:val="Heading2"/>
      </w:pPr>
      <w:r>
        <w:rPr>
          <w:rFonts w:ascii="Times New Roman" w:hAnsi="Times New Roman"/>
          <w:color w:val="000000"/>
        </w:rPr>
        <w:t>Patient Characteristics</w:t>
      </w:r>
    </w:p>
    <w:p>
      <w:r>
        <w:rPr>
          <w:rFonts w:ascii="Times New Roman" w:hAnsi="Times New Roman"/>
          <w:b w:val="0"/>
          <w:i w:val="0"/>
          <w:sz w:val="24"/>
        </w:rPr>
        <w:t>A total of 3,113 singleton cesarean sections were identified during the study period (2014-2024). After excluding 158 cases (130 for general anesthesia, 10 for systolic blood pressure &lt; 90 mmHg at admission, 5 for triplet pregnancy, 3 for intrauterine fetal death, 3 for vaginal delivery or forceps delivery, 3 for cardiac arrest or death, and 4 for other reasons including incomplete records), {n_final:,} patients were included in the final analysis (Table 1).</w:t>
      </w:r>
    </w:p>
    <w:p>
      <w:r>
        <w:rPr>
          <w:rFonts w:ascii="Times New Roman" w:hAnsi="Times New Roman"/>
          <w:b w:val="0"/>
          <w:i w:val="0"/>
          <w:sz w:val="24"/>
        </w:rPr>
        <w:t>The mean patient age was 33.4 ± 5.2 years. The median gestational age was 38.0 weeks (IQR: 37.0–38.6). Emergency cesarean sections accounted for 45.9% (n = 1,357) of the cohort.</w:t>
      </w:r>
    </w:p>
    <w:p>
      <w:r>
        <w:rPr>
          <w:rFonts w:ascii="Times New Roman" w:hAnsi="Times New Roman"/>
          <w:b/>
          <w:i w:val="0"/>
          <w:sz w:val="24"/>
        </w:rPr>
        <w:t>Table 1. Patient characteristics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sz w:val="20"/>
              </w:rPr>
              <w:t>Variable</w:t>
            </w:r>
          </w:p>
        </w:tc>
        <w:tc>
          <w:tcPr>
            <w:tcW w:type="dxa" w:w="1728"/>
          </w:tcPr>
          <w:p>
            <w:r>
              <w:rPr>
                <w:rFonts w:ascii="Times New Roman" w:hAnsi="Times New Roman"/>
                <w:sz w:val="20"/>
              </w:rPr>
              <w:t>n</w:t>
            </w:r>
          </w:p>
        </w:tc>
        <w:tc>
          <w:tcPr>
            <w:tcW w:type="dxa" w:w="1728"/>
          </w:tcPr>
          <w:p>
            <w:r>
              <w:rPr>
                <w:rFonts w:ascii="Times New Roman" w:hAnsi="Times New Roman"/>
                <w:sz w:val="20"/>
              </w:rPr>
              <w:t>Mean ± SD or n (%)</w:t>
            </w:r>
          </w:p>
        </w:tc>
        <w:tc>
          <w:tcPr>
            <w:tcW w:type="dxa" w:w="1728"/>
          </w:tcPr>
          <w:p>
            <w:r>
              <w:rPr>
                <w:rFonts w:ascii="Times New Roman" w:hAnsi="Times New Roman"/>
                <w:sz w:val="20"/>
              </w:rPr>
              <w:t>Median [IQR]</w:t>
            </w:r>
          </w:p>
        </w:tc>
        <w:tc>
          <w:tcPr>
            <w:tcW w:type="dxa" w:w="1728"/>
          </w:tcPr>
          <w:p>
            <w:r>
              <w:rPr>
                <w:rFonts w:ascii="Times New Roman" w:hAnsi="Times New Roman"/>
                <w:sz w:val="20"/>
              </w:rPr>
              <w:t>Range</w:t>
            </w:r>
          </w:p>
        </w:tc>
      </w:tr>
      <w:tr>
        <w:tc>
          <w:tcPr>
            <w:tcW w:type="dxa" w:w="1728"/>
          </w:tcPr>
          <w:p>
            <w:r>
              <w:rPr>
                <w:rFonts w:ascii="Times New Roman" w:hAnsi="Times New Roman"/>
                <w:sz w:val="20"/>
              </w:rPr>
              <w:t>Age (years)</w:t>
            </w:r>
          </w:p>
        </w:tc>
        <w:tc>
          <w:tcPr>
            <w:tcW w:type="dxa" w:w="1728"/>
          </w:tcPr>
          <w:p>
            <w:r>
              <w:rPr>
                <w:rFonts w:ascii="Times New Roman" w:hAnsi="Times New Roman"/>
                <w:sz w:val="20"/>
              </w:rPr>
              <w:t>2955</w:t>
            </w:r>
          </w:p>
        </w:tc>
        <w:tc>
          <w:tcPr>
            <w:tcW w:type="dxa" w:w="1728"/>
          </w:tcPr>
          <w:p>
            <w:r>
              <w:rPr>
                <w:rFonts w:ascii="Times New Roman" w:hAnsi="Times New Roman"/>
                <w:sz w:val="20"/>
              </w:rPr>
              <w:t>33.4 ± 5.2</w:t>
            </w:r>
          </w:p>
        </w:tc>
        <w:tc>
          <w:tcPr>
            <w:tcW w:type="dxa" w:w="1728"/>
          </w:tcPr>
          <w:p>
            <w:r>
              <w:rPr>
                <w:rFonts w:ascii="Times New Roman" w:hAnsi="Times New Roman"/>
                <w:sz w:val="20"/>
              </w:rPr>
              <w:t>34.0 [30.0-37.0]</w:t>
            </w:r>
          </w:p>
        </w:tc>
        <w:tc>
          <w:tcPr>
            <w:tcW w:type="dxa" w:w="1728"/>
          </w:tcPr>
          <w:p>
            <w:r>
              <w:rPr>
                <w:rFonts w:ascii="Times New Roman" w:hAnsi="Times New Roman"/>
                <w:sz w:val="20"/>
              </w:rPr>
              <w:t>17.0–50.0</w:t>
            </w:r>
          </w:p>
        </w:tc>
      </w:tr>
      <w:tr>
        <w:tc>
          <w:tcPr>
            <w:tcW w:type="dxa" w:w="1728"/>
          </w:tcPr>
          <w:p>
            <w:r>
              <w:rPr>
                <w:rFonts w:ascii="Times New Roman" w:hAnsi="Times New Roman"/>
                <w:sz w:val="20"/>
              </w:rPr>
              <w:t>BMI (kg/m²)</w:t>
            </w:r>
          </w:p>
        </w:tc>
        <w:tc>
          <w:tcPr>
            <w:tcW w:type="dxa" w:w="1728"/>
          </w:tcPr>
          <w:p>
            <w:r>
              <w:rPr>
                <w:rFonts w:ascii="Times New Roman" w:hAnsi="Times New Roman"/>
                <w:sz w:val="20"/>
              </w:rPr>
              <w:t>2865</w:t>
            </w:r>
          </w:p>
        </w:tc>
        <w:tc>
          <w:tcPr>
            <w:tcW w:type="dxa" w:w="1728"/>
          </w:tcPr>
          <w:p>
            <w:r>
              <w:rPr>
                <w:rFonts w:ascii="Times New Roman" w:hAnsi="Times New Roman"/>
                <w:sz w:val="20"/>
              </w:rPr>
              <w:t>26.1 ± 13.2</w:t>
            </w:r>
          </w:p>
        </w:tc>
        <w:tc>
          <w:tcPr>
            <w:tcW w:type="dxa" w:w="1728"/>
          </w:tcPr>
          <w:p>
            <w:r>
              <w:rPr>
                <w:rFonts w:ascii="Times New Roman" w:hAnsi="Times New Roman"/>
                <w:sz w:val="20"/>
              </w:rPr>
              <w:t>24.8 [22.5-27.8]</w:t>
            </w:r>
          </w:p>
        </w:tc>
        <w:tc>
          <w:tcPr>
            <w:tcW w:type="dxa" w:w="1728"/>
          </w:tcPr>
          <w:p>
            <w:r>
              <w:rPr>
                <w:rFonts w:ascii="Times New Roman" w:hAnsi="Times New Roman"/>
                <w:sz w:val="20"/>
              </w:rPr>
              <w:t>14.9–463.5</w:t>
            </w:r>
          </w:p>
        </w:tc>
      </w:tr>
      <w:tr>
        <w:tc>
          <w:tcPr>
            <w:tcW w:type="dxa" w:w="1728"/>
          </w:tcPr>
          <w:p>
            <w:r>
              <w:rPr>
                <w:rFonts w:ascii="Times New Roman" w:hAnsi="Times New Roman"/>
                <w:sz w:val="20"/>
              </w:rPr>
              <w:t>Gestational age (weeks)</w:t>
            </w:r>
          </w:p>
        </w:tc>
        <w:tc>
          <w:tcPr>
            <w:tcW w:type="dxa" w:w="1728"/>
          </w:tcPr>
          <w:p>
            <w:r>
              <w:rPr>
                <w:rFonts w:ascii="Times New Roman" w:hAnsi="Times New Roman"/>
                <w:sz w:val="20"/>
              </w:rPr>
              <w:t>2892</w:t>
            </w:r>
          </w:p>
        </w:tc>
        <w:tc>
          <w:tcPr>
            <w:tcW w:type="dxa" w:w="1728"/>
          </w:tcPr>
          <w:p>
            <w:r>
              <w:rPr>
                <w:rFonts w:ascii="Times New Roman" w:hAnsi="Times New Roman"/>
                <w:sz w:val="20"/>
              </w:rPr>
              <w:t>37.2 ± 3.1</w:t>
            </w:r>
          </w:p>
        </w:tc>
        <w:tc>
          <w:tcPr>
            <w:tcW w:type="dxa" w:w="1728"/>
          </w:tcPr>
          <w:p>
            <w:r>
              <w:rPr>
                <w:rFonts w:ascii="Times New Roman" w:hAnsi="Times New Roman"/>
                <w:sz w:val="20"/>
              </w:rPr>
              <w:t>38.0 [37.0-38.6]</w:t>
            </w:r>
          </w:p>
        </w:tc>
        <w:tc>
          <w:tcPr>
            <w:tcW w:type="dxa" w:w="1728"/>
          </w:tcPr>
          <w:p>
            <w:r>
              <w:rPr>
                <w:rFonts w:ascii="Times New Roman" w:hAnsi="Times New Roman"/>
                <w:sz w:val="20"/>
              </w:rPr>
              <w:t>22.6–42.1</w:t>
            </w:r>
          </w:p>
        </w:tc>
      </w:tr>
      <w:tr>
        <w:tc>
          <w:tcPr>
            <w:tcW w:type="dxa" w:w="1728"/>
          </w:tcPr>
          <w:p>
            <w:r>
              <w:rPr>
                <w:rFonts w:ascii="Times New Roman" w:hAnsi="Times New Roman"/>
                <w:sz w:val="20"/>
              </w:rPr>
              <w:t>Surgical duration (min)</w:t>
            </w:r>
          </w:p>
        </w:tc>
        <w:tc>
          <w:tcPr>
            <w:tcW w:type="dxa" w:w="1728"/>
          </w:tcPr>
          <w:p>
            <w:r>
              <w:rPr>
                <w:rFonts w:ascii="Times New Roman" w:hAnsi="Times New Roman"/>
                <w:sz w:val="20"/>
              </w:rPr>
              <w:t>2955</w:t>
            </w:r>
          </w:p>
        </w:tc>
        <w:tc>
          <w:tcPr>
            <w:tcW w:type="dxa" w:w="1728"/>
          </w:tcPr>
          <w:p>
            <w:r>
              <w:rPr>
                <w:rFonts w:ascii="Times New Roman" w:hAnsi="Times New Roman"/>
                <w:sz w:val="20"/>
              </w:rPr>
              <w:t>50.3 ± 14.9</w:t>
            </w:r>
          </w:p>
        </w:tc>
        <w:tc>
          <w:tcPr>
            <w:tcW w:type="dxa" w:w="1728"/>
          </w:tcPr>
          <w:p>
            <w:r>
              <w:rPr>
                <w:rFonts w:ascii="Times New Roman" w:hAnsi="Times New Roman"/>
                <w:sz w:val="20"/>
              </w:rPr>
              <w:t>47.0 [40.0-57.0]</w:t>
            </w:r>
          </w:p>
        </w:tc>
        <w:tc>
          <w:tcPr>
            <w:tcW w:type="dxa" w:w="1728"/>
          </w:tcPr>
          <w:p>
            <w:r>
              <w:rPr>
                <w:rFonts w:ascii="Times New Roman" w:hAnsi="Times New Roman"/>
                <w:sz w:val="20"/>
              </w:rPr>
              <w:t>5.0–163.0</w:t>
            </w:r>
          </w:p>
        </w:tc>
      </w:tr>
      <w:tr>
        <w:tc>
          <w:tcPr>
            <w:tcW w:type="dxa" w:w="1728"/>
          </w:tcPr>
          <w:p>
            <w:r>
              <w:rPr>
                <w:rFonts w:ascii="Times New Roman" w:hAnsi="Times New Roman"/>
                <w:sz w:val="20"/>
              </w:rPr>
              <w:t>Anesthesia duration (min)</w:t>
            </w:r>
          </w:p>
        </w:tc>
        <w:tc>
          <w:tcPr>
            <w:tcW w:type="dxa" w:w="1728"/>
          </w:tcPr>
          <w:p>
            <w:r>
              <w:rPr>
                <w:rFonts w:ascii="Times New Roman" w:hAnsi="Times New Roman"/>
                <w:sz w:val="20"/>
              </w:rPr>
              <w:t>2955</w:t>
            </w:r>
          </w:p>
        </w:tc>
        <w:tc>
          <w:tcPr>
            <w:tcW w:type="dxa" w:w="1728"/>
          </w:tcPr>
          <w:p>
            <w:r>
              <w:rPr>
                <w:rFonts w:ascii="Times New Roman" w:hAnsi="Times New Roman"/>
                <w:sz w:val="20"/>
              </w:rPr>
              <w:t>67.1 ± 17.9</w:t>
            </w:r>
          </w:p>
        </w:tc>
        <w:tc>
          <w:tcPr>
            <w:tcW w:type="dxa" w:w="1728"/>
          </w:tcPr>
          <w:p>
            <w:r>
              <w:rPr>
                <w:rFonts w:ascii="Times New Roman" w:hAnsi="Times New Roman"/>
                <w:sz w:val="20"/>
              </w:rPr>
              <w:t>64.0 [55.0-76.0]</w:t>
            </w:r>
          </w:p>
        </w:tc>
        <w:tc>
          <w:tcPr>
            <w:tcW w:type="dxa" w:w="1728"/>
          </w:tcPr>
          <w:p>
            <w:r>
              <w:rPr>
                <w:rFonts w:ascii="Times New Roman" w:hAnsi="Times New Roman"/>
                <w:sz w:val="20"/>
              </w:rPr>
              <w:t>0.0–196.0</w:t>
            </w:r>
          </w:p>
        </w:tc>
      </w:tr>
      <w:tr>
        <w:tc>
          <w:tcPr>
            <w:tcW w:type="dxa" w:w="1728"/>
          </w:tcPr>
          <w:p>
            <w:r>
              <w:rPr>
                <w:rFonts w:ascii="Times New Roman" w:hAnsi="Times New Roman"/>
                <w:sz w:val="20"/>
              </w:rPr>
              <w:t>Estimated blood loss (mL)</w:t>
            </w:r>
          </w:p>
        </w:tc>
        <w:tc>
          <w:tcPr>
            <w:tcW w:type="dxa" w:w="1728"/>
          </w:tcPr>
          <w:p>
            <w:r>
              <w:rPr>
                <w:rFonts w:ascii="Times New Roman" w:hAnsi="Times New Roman"/>
                <w:sz w:val="20"/>
              </w:rPr>
              <w:t>2904</w:t>
            </w:r>
          </w:p>
        </w:tc>
        <w:tc>
          <w:tcPr>
            <w:tcW w:type="dxa" w:w="1728"/>
          </w:tcPr>
          <w:p>
            <w:r>
              <w:rPr>
                <w:rFonts w:ascii="Times New Roman" w:hAnsi="Times New Roman"/>
                <w:sz w:val="20"/>
              </w:rPr>
              <w:t>753.0 ± 458.6</w:t>
            </w:r>
          </w:p>
        </w:tc>
        <w:tc>
          <w:tcPr>
            <w:tcW w:type="dxa" w:w="1728"/>
          </w:tcPr>
          <w:p>
            <w:r>
              <w:rPr>
                <w:rFonts w:ascii="Times New Roman" w:hAnsi="Times New Roman"/>
                <w:sz w:val="20"/>
              </w:rPr>
              <w:t>650.0 [450.0-930.0]</w:t>
            </w:r>
          </w:p>
        </w:tc>
        <w:tc>
          <w:tcPr>
            <w:tcW w:type="dxa" w:w="1728"/>
          </w:tcPr>
          <w:p>
            <w:r>
              <w:rPr>
                <w:rFonts w:ascii="Times New Roman" w:hAnsi="Times New Roman"/>
                <w:sz w:val="20"/>
              </w:rPr>
              <w:t>50.0–5500.0</w:t>
            </w:r>
          </w:p>
        </w:tc>
      </w:tr>
      <w:tr>
        <w:tc>
          <w:tcPr>
            <w:tcW w:type="dxa" w:w="1728"/>
          </w:tcPr>
          <w:p>
            <w:r>
              <w:rPr>
                <w:rFonts w:ascii="Times New Roman" w:hAnsi="Times New Roman"/>
                <w:sz w:val="20"/>
              </w:rPr>
              <w:t>Intravenous fluid (mL)</w:t>
            </w:r>
          </w:p>
        </w:tc>
        <w:tc>
          <w:tcPr>
            <w:tcW w:type="dxa" w:w="1728"/>
          </w:tcPr>
          <w:p>
            <w:r>
              <w:rPr>
                <w:rFonts w:ascii="Times New Roman" w:hAnsi="Times New Roman"/>
                <w:sz w:val="20"/>
              </w:rPr>
              <w:t>2894</w:t>
            </w:r>
          </w:p>
        </w:tc>
        <w:tc>
          <w:tcPr>
            <w:tcW w:type="dxa" w:w="1728"/>
          </w:tcPr>
          <w:p>
            <w:r>
              <w:rPr>
                <w:rFonts w:ascii="Times New Roman" w:hAnsi="Times New Roman"/>
                <w:sz w:val="20"/>
              </w:rPr>
              <w:t>1046.3 ± 406.7</w:t>
            </w:r>
          </w:p>
        </w:tc>
        <w:tc>
          <w:tcPr>
            <w:tcW w:type="dxa" w:w="1728"/>
          </w:tcPr>
          <w:p>
            <w:r>
              <w:rPr>
                <w:rFonts w:ascii="Times New Roman" w:hAnsi="Times New Roman"/>
                <w:sz w:val="20"/>
              </w:rPr>
              <w:t>1000.0 [750.0-1250.0]</w:t>
            </w:r>
          </w:p>
        </w:tc>
        <w:tc>
          <w:tcPr>
            <w:tcW w:type="dxa" w:w="1728"/>
          </w:tcPr>
          <w:p>
            <w:r>
              <w:rPr>
                <w:rFonts w:ascii="Times New Roman" w:hAnsi="Times New Roman"/>
                <w:sz w:val="20"/>
              </w:rPr>
              <w:t>100.0–4400.0</w:t>
            </w:r>
          </w:p>
        </w:tc>
      </w:tr>
      <w:tr>
        <w:tc>
          <w:tcPr>
            <w:tcW w:type="dxa" w:w="1728"/>
          </w:tcPr>
          <w:p>
            <w:r>
              <w:rPr>
                <w:rFonts w:ascii="Times New Roman" w:hAnsi="Times New Roman"/>
                <w:sz w:val="20"/>
              </w:rPr>
              <w:t>Hypotension episodes</w:t>
            </w:r>
          </w:p>
        </w:tc>
        <w:tc>
          <w:tcPr>
            <w:tcW w:type="dxa" w:w="1728"/>
          </w:tcPr>
          <w:p>
            <w:r>
              <w:rPr>
                <w:rFonts w:ascii="Times New Roman" w:hAnsi="Times New Roman"/>
                <w:sz w:val="20"/>
              </w:rPr>
              <w:t>2896</w:t>
            </w:r>
          </w:p>
        </w:tc>
        <w:tc>
          <w:tcPr>
            <w:tcW w:type="dxa" w:w="1728"/>
          </w:tcPr>
          <w:p>
            <w:r>
              <w:rPr>
                <w:rFonts w:ascii="Times New Roman" w:hAnsi="Times New Roman"/>
                <w:sz w:val="20"/>
              </w:rPr>
              <w:t>2.0 ± 4.0</w:t>
            </w:r>
          </w:p>
        </w:tc>
        <w:tc>
          <w:tcPr>
            <w:tcW w:type="dxa" w:w="1728"/>
          </w:tcPr>
          <w:p>
            <w:r>
              <w:rPr>
                <w:rFonts w:ascii="Times New Roman" w:hAnsi="Times New Roman"/>
                <w:sz w:val="20"/>
              </w:rPr>
              <w:t>1.0 [0.0-2.0]</w:t>
            </w:r>
          </w:p>
        </w:tc>
        <w:tc>
          <w:tcPr>
            <w:tcW w:type="dxa" w:w="1728"/>
          </w:tcPr>
          <w:p>
            <w:r>
              <w:rPr>
                <w:rFonts w:ascii="Times New Roman" w:hAnsi="Times New Roman"/>
                <w:sz w:val="20"/>
              </w:rPr>
              <w:t>0.0–60.0</w:t>
            </w:r>
          </w:p>
        </w:tc>
      </w:tr>
      <w:tr>
        <w:tc>
          <w:tcPr>
            <w:tcW w:type="dxa" w:w="1728"/>
          </w:tcPr>
          <w:p>
            <w:r>
              <w:rPr>
                <w:rFonts w:ascii="Times New Roman" w:hAnsi="Times New Roman"/>
                <w:sz w:val="20"/>
              </w:rPr>
              <w:t>Oxytocin (U)</w:t>
            </w:r>
          </w:p>
        </w:tc>
        <w:tc>
          <w:tcPr>
            <w:tcW w:type="dxa" w:w="1728"/>
          </w:tcPr>
          <w:p>
            <w:r>
              <w:rPr>
                <w:rFonts w:ascii="Times New Roman" w:hAnsi="Times New Roman"/>
                <w:sz w:val="20"/>
              </w:rPr>
              <w:t>2897</w:t>
            </w:r>
          </w:p>
        </w:tc>
        <w:tc>
          <w:tcPr>
            <w:tcW w:type="dxa" w:w="1728"/>
          </w:tcPr>
          <w:p>
            <w:r>
              <w:rPr>
                <w:rFonts w:ascii="Times New Roman" w:hAnsi="Times New Roman"/>
                <w:sz w:val="20"/>
              </w:rPr>
              <w:t>11.3 ± 5.9</w:t>
            </w:r>
          </w:p>
        </w:tc>
        <w:tc>
          <w:tcPr>
            <w:tcW w:type="dxa" w:w="1728"/>
          </w:tcPr>
          <w:p>
            <w:r>
              <w:rPr>
                <w:rFonts w:ascii="Times New Roman" w:hAnsi="Times New Roman"/>
                <w:sz w:val="20"/>
              </w:rPr>
              <w:t>10.0 [5.0-15.0]</w:t>
            </w:r>
          </w:p>
        </w:tc>
        <w:tc>
          <w:tcPr>
            <w:tcW w:type="dxa" w:w="1728"/>
          </w:tcPr>
          <w:p>
            <w:r>
              <w:rPr>
                <w:rFonts w:ascii="Times New Roman" w:hAnsi="Times New Roman"/>
                <w:sz w:val="20"/>
              </w:rPr>
              <w:t>0.0–50.0</w:t>
            </w:r>
          </w:p>
        </w:tc>
      </w:tr>
      <w:tr>
        <w:tc>
          <w:tcPr>
            <w:tcW w:type="dxa" w:w="1728"/>
          </w:tcPr>
          <w:p>
            <w:r>
              <w:rPr>
                <w:rFonts w:ascii="Times New Roman" w:hAnsi="Times New Roman"/>
                <w:sz w:val="20"/>
              </w:rPr>
              <w:t>Emergency CS: 0</w:t>
            </w:r>
          </w:p>
        </w:tc>
        <w:tc>
          <w:tcPr>
            <w:tcW w:type="dxa" w:w="1728"/>
          </w:tcPr>
          <w:p>
            <w:r>
              <w:rPr>
                <w:rFonts w:ascii="Times New Roman" w:hAnsi="Times New Roman"/>
                <w:sz w:val="20"/>
              </w:rPr>
              <w:t>1598</w:t>
            </w:r>
          </w:p>
        </w:tc>
        <w:tc>
          <w:tcPr>
            <w:tcW w:type="dxa" w:w="1728"/>
          </w:tcPr>
          <w:p>
            <w:r>
              <w:rPr>
                <w:rFonts w:ascii="Times New Roman" w:hAnsi="Times New Roman"/>
                <w:sz w:val="20"/>
              </w:rPr>
              <w:t>1598 (54.1%)</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Emergency CS: 1</w:t>
            </w:r>
          </w:p>
        </w:tc>
        <w:tc>
          <w:tcPr>
            <w:tcW w:type="dxa" w:w="1728"/>
          </w:tcPr>
          <w:p>
            <w:r>
              <w:rPr>
                <w:rFonts w:ascii="Times New Roman" w:hAnsi="Times New Roman"/>
                <w:sz w:val="20"/>
              </w:rPr>
              <w:t>1357</w:t>
            </w:r>
          </w:p>
        </w:tc>
        <w:tc>
          <w:tcPr>
            <w:tcW w:type="dxa" w:w="1728"/>
          </w:tcPr>
          <w:p>
            <w:r>
              <w:rPr>
                <w:rFonts w:ascii="Times New Roman" w:hAnsi="Times New Roman"/>
                <w:sz w:val="20"/>
              </w:rPr>
              <w:t>1357 (45.9%)</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ASA-PS: 1.0</w:t>
            </w:r>
          </w:p>
        </w:tc>
        <w:tc>
          <w:tcPr>
            <w:tcW w:type="dxa" w:w="1728"/>
          </w:tcPr>
          <w:p>
            <w:r>
              <w:rPr>
                <w:rFonts w:ascii="Times New Roman" w:hAnsi="Times New Roman"/>
                <w:sz w:val="20"/>
              </w:rPr>
              <w:t>1079</w:t>
            </w:r>
          </w:p>
        </w:tc>
        <w:tc>
          <w:tcPr>
            <w:tcW w:type="dxa" w:w="1728"/>
          </w:tcPr>
          <w:p>
            <w:r>
              <w:rPr>
                <w:rFonts w:ascii="Times New Roman" w:hAnsi="Times New Roman"/>
                <w:sz w:val="20"/>
              </w:rPr>
              <w:t>1079 (37.2%)</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ASA-PS: 2.0</w:t>
            </w:r>
          </w:p>
        </w:tc>
        <w:tc>
          <w:tcPr>
            <w:tcW w:type="dxa" w:w="1728"/>
          </w:tcPr>
          <w:p>
            <w:r>
              <w:rPr>
                <w:rFonts w:ascii="Times New Roman" w:hAnsi="Times New Roman"/>
                <w:sz w:val="20"/>
              </w:rPr>
              <w:t>1708</w:t>
            </w:r>
          </w:p>
        </w:tc>
        <w:tc>
          <w:tcPr>
            <w:tcW w:type="dxa" w:w="1728"/>
          </w:tcPr>
          <w:p>
            <w:r>
              <w:rPr>
                <w:rFonts w:ascii="Times New Roman" w:hAnsi="Times New Roman"/>
                <w:sz w:val="20"/>
              </w:rPr>
              <w:t>1708 (59.0%)</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ASA-PS: 3.0</w:t>
            </w:r>
          </w:p>
        </w:tc>
        <w:tc>
          <w:tcPr>
            <w:tcW w:type="dxa" w:w="1728"/>
          </w:tcPr>
          <w:p>
            <w:r>
              <w:rPr>
                <w:rFonts w:ascii="Times New Roman" w:hAnsi="Times New Roman"/>
                <w:sz w:val="20"/>
              </w:rPr>
              <w:t>110</w:t>
            </w:r>
          </w:p>
        </w:tc>
        <w:tc>
          <w:tcPr>
            <w:tcW w:type="dxa" w:w="1728"/>
          </w:tcPr>
          <w:p>
            <w:r>
              <w:rPr>
                <w:rFonts w:ascii="Times New Roman" w:hAnsi="Times New Roman"/>
                <w:sz w:val="20"/>
              </w:rPr>
              <w:t>110 (3.8%)</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Prior cesarean: 0</w:t>
            </w:r>
          </w:p>
        </w:tc>
        <w:tc>
          <w:tcPr>
            <w:tcW w:type="dxa" w:w="1728"/>
          </w:tcPr>
          <w:p>
            <w:r>
              <w:rPr>
                <w:rFonts w:ascii="Times New Roman" w:hAnsi="Times New Roman"/>
                <w:sz w:val="20"/>
              </w:rPr>
              <w:t>1589</w:t>
            </w:r>
          </w:p>
        </w:tc>
        <w:tc>
          <w:tcPr>
            <w:tcW w:type="dxa" w:w="1728"/>
          </w:tcPr>
          <w:p>
            <w:r>
              <w:rPr>
                <w:rFonts w:ascii="Times New Roman" w:hAnsi="Times New Roman"/>
                <w:sz w:val="20"/>
              </w:rPr>
              <w:t>1589 (54.8%)</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Prior cesarean: 1</w:t>
            </w:r>
          </w:p>
        </w:tc>
        <w:tc>
          <w:tcPr>
            <w:tcW w:type="dxa" w:w="1728"/>
          </w:tcPr>
          <w:p>
            <w:r>
              <w:rPr>
                <w:rFonts w:ascii="Times New Roman" w:hAnsi="Times New Roman"/>
                <w:sz w:val="20"/>
              </w:rPr>
              <w:t>1308</w:t>
            </w:r>
          </w:p>
        </w:tc>
        <w:tc>
          <w:tcPr>
            <w:tcW w:type="dxa" w:w="1728"/>
          </w:tcPr>
          <w:p>
            <w:r>
              <w:rPr>
                <w:rFonts w:ascii="Times New Roman" w:hAnsi="Times New Roman"/>
                <w:sz w:val="20"/>
              </w:rPr>
              <w:t>1308 (45.2%)</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Hypertensive disorders of pregnancy: 0</w:t>
            </w:r>
          </w:p>
        </w:tc>
        <w:tc>
          <w:tcPr>
            <w:tcW w:type="dxa" w:w="1728"/>
          </w:tcPr>
          <w:p>
            <w:r>
              <w:rPr>
                <w:rFonts w:ascii="Times New Roman" w:hAnsi="Times New Roman"/>
                <w:sz w:val="20"/>
              </w:rPr>
              <w:t>2643</w:t>
            </w:r>
          </w:p>
        </w:tc>
        <w:tc>
          <w:tcPr>
            <w:tcW w:type="dxa" w:w="1728"/>
          </w:tcPr>
          <w:p>
            <w:r>
              <w:rPr>
                <w:rFonts w:ascii="Times New Roman" w:hAnsi="Times New Roman"/>
                <w:sz w:val="20"/>
              </w:rPr>
              <w:t>2643 (91.3%)</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Hypertensive disorders of pregnancy: 1</w:t>
            </w:r>
          </w:p>
        </w:tc>
        <w:tc>
          <w:tcPr>
            <w:tcW w:type="dxa" w:w="1728"/>
          </w:tcPr>
          <w:p>
            <w:r>
              <w:rPr>
                <w:rFonts w:ascii="Times New Roman" w:hAnsi="Times New Roman"/>
                <w:sz w:val="20"/>
              </w:rPr>
              <w:t>251</w:t>
            </w:r>
          </w:p>
        </w:tc>
        <w:tc>
          <w:tcPr>
            <w:tcW w:type="dxa" w:w="1728"/>
          </w:tcPr>
          <w:p>
            <w:r>
              <w:rPr>
                <w:rFonts w:ascii="Times New Roman" w:hAnsi="Times New Roman"/>
                <w:sz w:val="20"/>
              </w:rPr>
              <w:t>251 (8.7%)</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Placenta previa/low-lying placenta: 0</w:t>
            </w:r>
          </w:p>
        </w:tc>
        <w:tc>
          <w:tcPr>
            <w:tcW w:type="dxa" w:w="1728"/>
          </w:tcPr>
          <w:p>
            <w:r>
              <w:rPr>
                <w:rFonts w:ascii="Times New Roman" w:hAnsi="Times New Roman"/>
                <w:sz w:val="20"/>
              </w:rPr>
              <w:t>2693</w:t>
            </w:r>
          </w:p>
        </w:tc>
        <w:tc>
          <w:tcPr>
            <w:tcW w:type="dxa" w:w="1728"/>
          </w:tcPr>
          <w:p>
            <w:r>
              <w:rPr>
                <w:rFonts w:ascii="Times New Roman" w:hAnsi="Times New Roman"/>
                <w:sz w:val="20"/>
              </w:rPr>
              <w:t>2693 (91.1%)</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Placenta previa/low-lying placenta: 1</w:t>
            </w:r>
          </w:p>
        </w:tc>
        <w:tc>
          <w:tcPr>
            <w:tcW w:type="dxa" w:w="1728"/>
          </w:tcPr>
          <w:p>
            <w:r>
              <w:rPr>
                <w:rFonts w:ascii="Times New Roman" w:hAnsi="Times New Roman"/>
                <w:sz w:val="20"/>
              </w:rPr>
              <w:t>262</w:t>
            </w:r>
          </w:p>
        </w:tc>
        <w:tc>
          <w:tcPr>
            <w:tcW w:type="dxa" w:w="1728"/>
          </w:tcPr>
          <w:p>
            <w:r>
              <w:rPr>
                <w:rFonts w:ascii="Times New Roman" w:hAnsi="Times New Roman"/>
                <w:sz w:val="20"/>
              </w:rPr>
              <w:t>262 (8.9%)</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Epidural anesthesia: 0.0</w:t>
            </w:r>
          </w:p>
        </w:tc>
        <w:tc>
          <w:tcPr>
            <w:tcW w:type="dxa" w:w="1728"/>
          </w:tcPr>
          <w:p>
            <w:r>
              <w:rPr>
                <w:rFonts w:ascii="Times New Roman" w:hAnsi="Times New Roman"/>
                <w:sz w:val="20"/>
              </w:rPr>
              <w:t>1974</w:t>
            </w:r>
          </w:p>
        </w:tc>
        <w:tc>
          <w:tcPr>
            <w:tcW w:type="dxa" w:w="1728"/>
          </w:tcPr>
          <w:p>
            <w:r>
              <w:rPr>
                <w:rFonts w:ascii="Times New Roman" w:hAnsi="Times New Roman"/>
                <w:sz w:val="20"/>
              </w:rPr>
              <w:t>1974 (68.1%)</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Epidural anesthesia: 1.0</w:t>
            </w:r>
          </w:p>
        </w:tc>
        <w:tc>
          <w:tcPr>
            <w:tcW w:type="dxa" w:w="1728"/>
          </w:tcPr>
          <w:p>
            <w:r>
              <w:rPr>
                <w:rFonts w:ascii="Times New Roman" w:hAnsi="Times New Roman"/>
                <w:sz w:val="20"/>
              </w:rPr>
              <w:t>923</w:t>
            </w:r>
          </w:p>
        </w:tc>
        <w:tc>
          <w:tcPr>
            <w:tcW w:type="dxa" w:w="1728"/>
          </w:tcPr>
          <w:p>
            <w:r>
              <w:rPr>
                <w:rFonts w:ascii="Times New Roman" w:hAnsi="Times New Roman"/>
                <w:sz w:val="20"/>
              </w:rPr>
              <w:t>923 (31.9%)</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Continuous vasopressor infusion: 0.0</w:t>
            </w:r>
          </w:p>
        </w:tc>
        <w:tc>
          <w:tcPr>
            <w:tcW w:type="dxa" w:w="1728"/>
          </w:tcPr>
          <w:p>
            <w:r>
              <w:rPr>
                <w:rFonts w:ascii="Times New Roman" w:hAnsi="Times New Roman"/>
                <w:sz w:val="20"/>
              </w:rPr>
              <w:t>2642</w:t>
            </w:r>
          </w:p>
        </w:tc>
        <w:tc>
          <w:tcPr>
            <w:tcW w:type="dxa" w:w="1728"/>
          </w:tcPr>
          <w:p>
            <w:r>
              <w:rPr>
                <w:rFonts w:ascii="Times New Roman" w:hAnsi="Times New Roman"/>
                <w:sz w:val="20"/>
              </w:rPr>
              <w:t>2642 (91.2%)</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Continuous vasopressor infusion: 1.0</w:t>
            </w:r>
          </w:p>
        </w:tc>
        <w:tc>
          <w:tcPr>
            <w:tcW w:type="dxa" w:w="1728"/>
          </w:tcPr>
          <w:p>
            <w:r>
              <w:rPr>
                <w:rFonts w:ascii="Times New Roman" w:hAnsi="Times New Roman"/>
                <w:sz w:val="20"/>
              </w:rPr>
              <w:t>255</w:t>
            </w:r>
          </w:p>
        </w:tc>
        <w:tc>
          <w:tcPr>
            <w:tcW w:type="dxa" w:w="1728"/>
          </w:tcPr>
          <w:p>
            <w:r>
              <w:rPr>
                <w:rFonts w:ascii="Times New Roman" w:hAnsi="Times New Roman"/>
                <w:sz w:val="20"/>
              </w:rPr>
              <w:t>255 (8.8%)</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Intraoperative antiemetic: 0.0</w:t>
            </w:r>
          </w:p>
        </w:tc>
        <w:tc>
          <w:tcPr>
            <w:tcW w:type="dxa" w:w="1728"/>
          </w:tcPr>
          <w:p>
            <w:r>
              <w:rPr>
                <w:rFonts w:ascii="Times New Roman" w:hAnsi="Times New Roman"/>
                <w:sz w:val="20"/>
              </w:rPr>
              <w:t>2349</w:t>
            </w:r>
          </w:p>
        </w:tc>
        <w:tc>
          <w:tcPr>
            <w:tcW w:type="dxa" w:w="1728"/>
          </w:tcPr>
          <w:p>
            <w:r>
              <w:rPr>
                <w:rFonts w:ascii="Times New Roman" w:hAnsi="Times New Roman"/>
                <w:sz w:val="20"/>
              </w:rPr>
              <w:t>2349 (81.1%)</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Intraoperative antiemetic: 1.0</w:t>
            </w:r>
          </w:p>
        </w:tc>
        <w:tc>
          <w:tcPr>
            <w:tcW w:type="dxa" w:w="1728"/>
          </w:tcPr>
          <w:p>
            <w:r>
              <w:rPr>
                <w:rFonts w:ascii="Times New Roman" w:hAnsi="Times New Roman"/>
                <w:sz w:val="20"/>
              </w:rPr>
              <w:t>548</w:t>
            </w:r>
          </w:p>
        </w:tc>
        <w:tc>
          <w:tcPr>
            <w:tcW w:type="dxa" w:w="1728"/>
          </w:tcPr>
          <w:p>
            <w:r>
              <w:rPr>
                <w:rFonts w:ascii="Times New Roman" w:hAnsi="Times New Roman"/>
                <w:sz w:val="20"/>
              </w:rPr>
              <w:t>548 (18.9%)</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Transfusion: 0</w:t>
            </w:r>
          </w:p>
        </w:tc>
        <w:tc>
          <w:tcPr>
            <w:tcW w:type="dxa" w:w="1728"/>
          </w:tcPr>
          <w:p>
            <w:r>
              <w:rPr>
                <w:rFonts w:ascii="Times New Roman" w:hAnsi="Times New Roman"/>
                <w:sz w:val="20"/>
              </w:rPr>
              <w:t>2827</w:t>
            </w:r>
          </w:p>
        </w:tc>
        <w:tc>
          <w:tcPr>
            <w:tcW w:type="dxa" w:w="1728"/>
          </w:tcPr>
          <w:p>
            <w:r>
              <w:rPr>
                <w:rFonts w:ascii="Times New Roman" w:hAnsi="Times New Roman"/>
                <w:sz w:val="20"/>
              </w:rPr>
              <w:t>2827 (95.7%)</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Transfusion: 1</w:t>
            </w:r>
          </w:p>
        </w:tc>
        <w:tc>
          <w:tcPr>
            <w:tcW w:type="dxa" w:w="1728"/>
          </w:tcPr>
          <w:p>
            <w:r>
              <w:rPr>
                <w:rFonts w:ascii="Times New Roman" w:hAnsi="Times New Roman"/>
                <w:sz w:val="20"/>
              </w:rPr>
              <w:t>128</w:t>
            </w:r>
          </w:p>
        </w:tc>
        <w:tc>
          <w:tcPr>
            <w:tcW w:type="dxa" w:w="1728"/>
          </w:tcPr>
          <w:p>
            <w:r>
              <w:rPr>
                <w:rFonts w:ascii="Times New Roman" w:hAnsi="Times New Roman"/>
                <w:sz w:val="20"/>
              </w:rPr>
              <w:t>128 (4.3%)</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Massive hemorrhage (&gt;=1500 mL): 0</w:t>
            </w:r>
          </w:p>
        </w:tc>
        <w:tc>
          <w:tcPr>
            <w:tcW w:type="dxa" w:w="1728"/>
          </w:tcPr>
          <w:p>
            <w:r>
              <w:rPr>
                <w:rFonts w:ascii="Times New Roman" w:hAnsi="Times New Roman"/>
                <w:sz w:val="20"/>
              </w:rPr>
              <w:t>2770</w:t>
            </w:r>
          </w:p>
        </w:tc>
        <w:tc>
          <w:tcPr>
            <w:tcW w:type="dxa" w:w="1728"/>
          </w:tcPr>
          <w:p>
            <w:r>
              <w:rPr>
                <w:rFonts w:ascii="Times New Roman" w:hAnsi="Times New Roman"/>
                <w:sz w:val="20"/>
              </w:rPr>
              <w:t>2770 (93.7%)</w:t>
            </w:r>
          </w:p>
        </w:tc>
        <w:tc>
          <w:tcPr>
            <w:tcW w:type="dxa" w:w="1728"/>
          </w:tcPr>
          <w:p>
            <w:r>
              <w:rPr>
                <w:rFonts w:ascii="Times New Roman" w:hAnsi="Times New Roman"/>
                <w:sz w:val="20"/>
              </w:rPr>
            </w:r>
          </w:p>
        </w:tc>
        <w:tc>
          <w:tcPr>
            <w:tcW w:type="dxa" w:w="1728"/>
          </w:tcPr>
          <w:p>
            <w:r>
              <w:rPr>
                <w:rFonts w:ascii="Times New Roman" w:hAnsi="Times New Roman"/>
                <w:sz w:val="20"/>
              </w:rPr>
            </w:r>
          </w:p>
        </w:tc>
      </w:tr>
      <w:tr>
        <w:tc>
          <w:tcPr>
            <w:tcW w:type="dxa" w:w="1728"/>
          </w:tcPr>
          <w:p>
            <w:r>
              <w:rPr>
                <w:rFonts w:ascii="Times New Roman" w:hAnsi="Times New Roman"/>
                <w:sz w:val="20"/>
              </w:rPr>
              <w:t>Massive hemorrhage (&gt;=1500 mL): 1</w:t>
            </w:r>
          </w:p>
        </w:tc>
        <w:tc>
          <w:tcPr>
            <w:tcW w:type="dxa" w:w="1728"/>
          </w:tcPr>
          <w:p>
            <w:r>
              <w:rPr>
                <w:rFonts w:ascii="Times New Roman" w:hAnsi="Times New Roman"/>
                <w:sz w:val="20"/>
              </w:rPr>
              <w:t>185</w:t>
            </w:r>
          </w:p>
        </w:tc>
        <w:tc>
          <w:tcPr>
            <w:tcW w:type="dxa" w:w="1728"/>
          </w:tcPr>
          <w:p>
            <w:r>
              <w:rPr>
                <w:rFonts w:ascii="Times New Roman" w:hAnsi="Times New Roman"/>
                <w:sz w:val="20"/>
              </w:rPr>
              <w:t>185 (6.3%)</w:t>
            </w:r>
          </w:p>
        </w:tc>
        <w:tc>
          <w:tcPr>
            <w:tcW w:type="dxa" w:w="1728"/>
          </w:tcPr>
          <w:p>
            <w:r>
              <w:rPr>
                <w:rFonts w:ascii="Times New Roman" w:hAnsi="Times New Roman"/>
                <w:sz w:val="20"/>
              </w:rPr>
            </w:r>
          </w:p>
        </w:tc>
        <w:tc>
          <w:tcPr>
            <w:tcW w:type="dxa" w:w="1728"/>
          </w:tcPr>
          <w:p>
            <w:r>
              <w:rPr>
                <w:rFonts w:ascii="Times New Roman" w:hAnsi="Times New Roman"/>
                <w:sz w:val="20"/>
              </w:rPr>
            </w:r>
          </w:p>
        </w:tc>
      </w:tr>
    </w:tbl>
    <w:p/>
    <w:p>
      <w:pPr>
        <w:pStyle w:val="Heading2"/>
      </w:pPr>
      <w:r>
        <w:rPr>
          <w:rFonts w:ascii="Times New Roman" w:hAnsi="Times New Roman"/>
          <w:color w:val="000000"/>
        </w:rPr>
        <w:t>Estimated Blood Loss</w:t>
      </w:r>
    </w:p>
    <w:p>
      <w:r>
        <w:rPr>
          <w:rFonts w:ascii="Times New Roman" w:hAnsi="Times New Roman"/>
          <w:b w:val="0"/>
          <w:i w:val="0"/>
          <w:sz w:val="24"/>
        </w:rPr>
        <w:t>Blood loss data were available for 2,904 patients (98.3%). The mean EBL was 753 ± 459 mL, with a median of 650 mL (IQR: 450–930 mL; range: 50–5500 mL). The distribution was right-skewed (Fig. 1A).</w:t>
      </w:r>
    </w:p>
    <w:p/>
    <w:p>
      <w:r>
        <w:drawing>
          <wp:inline xmlns:a="http://schemas.openxmlformats.org/drawingml/2006/main" xmlns:pic="http://schemas.openxmlformats.org/drawingml/2006/picture">
            <wp:extent cx="5486400" cy="2247311"/>
            <wp:docPr id="1" name="Picture 1"/>
            <wp:cNvGraphicFramePr>
              <a:graphicFrameLocks noChangeAspect="1"/>
            </wp:cNvGraphicFramePr>
            <a:graphic>
              <a:graphicData uri="http://schemas.openxmlformats.org/drawingml/2006/picture">
                <pic:pic>
                  <pic:nvPicPr>
                    <pic:cNvPr id="0" name="fig1_blood_loss_distribution.png"/>
                    <pic:cNvPicPr/>
                  </pic:nvPicPr>
                  <pic:blipFill>
                    <a:blip r:embed="rId9"/>
                    <a:stretch>
                      <a:fillRect/>
                    </a:stretch>
                  </pic:blipFill>
                  <pic:spPr>
                    <a:xfrm>
                      <a:off x="0" y="0"/>
                      <a:ext cx="5486400" cy="2247311"/>
                    </a:xfrm>
                    <a:prstGeom prst="rect"/>
                  </pic:spPr>
                </pic:pic>
              </a:graphicData>
            </a:graphic>
          </wp:inline>
        </w:drawing>
      </w:r>
    </w:p>
    <w:p>
      <w:pPr>
        <w:jc w:val="left"/>
      </w:pPr>
      <w:r>
        <w:rPr>
          <w:rFonts w:ascii="Times New Roman" w:hAnsi="Times New Roman"/>
          <w:i/>
          <w:sz w:val="20"/>
        </w:rPr>
        <w:t>Figure 1. Distribution of estimated blood loss during cesarean section. (A) Histogram with median (dashed red) and massive hemorrhage threshold (dotted orange, 1500 mL). (B) Box plots by surgical urgency.</w:t>
      </w:r>
    </w:p>
    <w:p/>
    <w:p>
      <w:r>
        <w:rPr>
          <w:rFonts w:ascii="Times New Roman" w:hAnsi="Times New Roman"/>
          <w:b w:val="0"/>
          <w:i w:val="0"/>
          <w:sz w:val="24"/>
        </w:rPr>
        <w:t>Elective cesarean sections had significantly higher median EBL compared with emergency cases (730 mL vs. 570 mL; P &lt; 0.001) (Fig. 1B). Patients with placenta previa or low-lying placenta had substantially higher median EBL (1188 mL vs. 621 mL; P &lt; 0.001). Epidural anesthesia was associated with higher median EBL (730 mL vs. 620 mL; P &lt; 0.001). No significant difference was observed between patients with and without prior cesarean delivery (P = 0.95) (Fig. 5).</w:t>
      </w:r>
    </w:p>
    <w:p/>
    <w:p>
      <w:r>
        <w:drawing>
          <wp:inline xmlns:a="http://schemas.openxmlformats.org/drawingml/2006/main" xmlns:pic="http://schemas.openxmlformats.org/drawingml/2006/picture">
            <wp:extent cx="5486400" cy="3737202"/>
            <wp:docPr id="2" name="Picture 2"/>
            <wp:cNvGraphicFramePr>
              <a:graphicFrameLocks noChangeAspect="1"/>
            </wp:cNvGraphicFramePr>
            <a:graphic>
              <a:graphicData uri="http://schemas.openxmlformats.org/drawingml/2006/picture">
                <pic:pic>
                  <pic:nvPicPr>
                    <pic:cNvPr id="0" name="fig5_subgroup_violins.png"/>
                    <pic:cNvPicPr/>
                  </pic:nvPicPr>
                  <pic:blipFill>
                    <a:blip r:embed="rId10"/>
                    <a:stretch>
                      <a:fillRect/>
                    </a:stretch>
                  </pic:blipFill>
                  <pic:spPr>
                    <a:xfrm>
                      <a:off x="0" y="0"/>
                      <a:ext cx="5486400" cy="3737202"/>
                    </a:xfrm>
                    <a:prstGeom prst="rect"/>
                  </pic:spPr>
                </pic:pic>
              </a:graphicData>
            </a:graphic>
          </wp:inline>
        </w:drawing>
      </w:r>
    </w:p>
    <w:p>
      <w:pPr>
        <w:jc w:val="left"/>
      </w:pPr>
      <w:r>
        <w:rPr>
          <w:rFonts w:ascii="Times New Roman" w:hAnsi="Times New Roman"/>
          <w:i/>
          <w:sz w:val="20"/>
        </w:rPr>
        <w:t>Figure 5. Estimated blood loss by clinical subgroups (violin plots). Red dotted line indicates the massive hemorrhage threshold (1500 mL). Horizontal lines within violins represent the median and interquartile range.</w:t>
      </w:r>
    </w:p>
    <w:p/>
    <w:p>
      <w:pPr>
        <w:pStyle w:val="Heading2"/>
      </w:pPr>
      <w:r>
        <w:rPr>
          <w:rFonts w:ascii="Times New Roman" w:hAnsi="Times New Roman"/>
          <w:color w:val="000000"/>
        </w:rPr>
        <w:t>Multivariable Analysis of Blood Loss</w:t>
      </w:r>
    </w:p>
    <w:p>
      <w:r>
        <w:rPr>
          <w:rFonts w:ascii="Times New Roman" w:hAnsi="Times New Roman"/>
          <w:b w:val="0"/>
          <w:i w:val="0"/>
          <w:sz w:val="24"/>
        </w:rPr>
        <w:t>In multivariable linear regression (n = 2,858; adjusted R² = 0.204), the following factors were independently associated with increased EBL: placenta previa or low-lying placenta (increased EBL by 71.8%; P &lt; 0.001); surgical duration (increased EBL by 0.8%; P &lt; 0.001); emergency cesarean section (decreased EBL by 17.3%; P &lt; 0.001); epidural anesthesia (increased EBL by 15.7%; P &lt; 0.001); number of hypotension episodes (increased EBL by 1.4%; P &lt; 0.001); age (increased EBL by 0.9%; P &lt; 0.001); prior cesarean delivery (decreased EBL by 8.9%; P &lt; 0.001). Gestational age, bmi, hypertensive disorders of pregnancy were not significantly associated with EBL.</w:t>
      </w:r>
    </w:p>
    <w:p>
      <w:r>
        <w:rPr>
          <w:rFonts w:ascii="Times New Roman" w:hAnsi="Times New Roman"/>
          <w:b w:val="0"/>
          <w:i w:val="0"/>
          <w:sz w:val="24"/>
        </w:rPr>
        <w:t>Table 2 and Figure 3 show the full regression results.</w:t>
      </w:r>
    </w:p>
    <w:p>
      <w:r>
        <w:rPr>
          <w:rFonts w:ascii="Times New Roman" w:hAnsi="Times New Roman"/>
          <w:b/>
          <w:i w:val="0"/>
          <w:sz w:val="24"/>
        </w:rPr>
        <w:t>Table 2. Multivariable linear regression: Factors associated with estimated blood loss (log-transformed)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sz w:val="20"/>
              </w:rPr>
              <w:t>Variable</w:t>
            </w:r>
          </w:p>
        </w:tc>
        <w:tc>
          <w:tcPr>
            <w:tcW w:type="dxa" w:w="2160"/>
          </w:tcPr>
          <w:p>
            <w:r>
              <w:rPr>
                <w:rFonts w:ascii="Times New Roman" w:hAnsi="Times New Roman"/>
                <w:sz w:val="20"/>
              </w:rPr>
              <w:t>% Change in EBL</w:t>
            </w:r>
          </w:p>
        </w:tc>
        <w:tc>
          <w:tcPr>
            <w:tcW w:type="dxa" w:w="2160"/>
          </w:tcPr>
          <w:p>
            <w:r>
              <w:rPr>
                <w:rFonts w:ascii="Times New Roman" w:hAnsi="Times New Roman"/>
                <w:sz w:val="20"/>
              </w:rPr>
              <w:t>95% CI</w:t>
            </w:r>
          </w:p>
        </w:tc>
        <w:tc>
          <w:tcPr>
            <w:tcW w:type="dxa" w:w="2160"/>
          </w:tcPr>
          <w:p>
            <w:r>
              <w:rPr>
                <w:rFonts w:ascii="Times New Roman" w:hAnsi="Times New Roman"/>
                <w:sz w:val="20"/>
              </w:rPr>
              <w:t>P-value</w:t>
            </w:r>
          </w:p>
        </w:tc>
      </w:tr>
      <w:tr>
        <w:tc>
          <w:tcPr>
            <w:tcW w:type="dxa" w:w="2160"/>
          </w:tcPr>
          <w:p>
            <w:r>
              <w:rPr>
                <w:rFonts w:ascii="Times New Roman" w:hAnsi="Times New Roman"/>
                <w:sz w:val="20"/>
              </w:rPr>
              <w:t>placenta previa or low-lying placenta</w:t>
            </w:r>
          </w:p>
        </w:tc>
        <w:tc>
          <w:tcPr>
            <w:tcW w:type="dxa" w:w="2160"/>
          </w:tcPr>
          <w:p>
            <w:r>
              <w:rPr>
                <w:rFonts w:ascii="Times New Roman" w:hAnsi="Times New Roman"/>
                <w:sz w:val="20"/>
              </w:rPr>
              <w:t>71.8%</w:t>
            </w:r>
          </w:p>
        </w:tc>
        <w:tc>
          <w:tcPr>
            <w:tcW w:type="dxa" w:w="2160"/>
          </w:tcPr>
          <w:p>
            <w:r>
              <w:rPr>
                <w:rFonts w:ascii="Times New Roman" w:hAnsi="Times New Roman"/>
                <w:sz w:val="20"/>
              </w:rPr>
              <w:t>60.3 to 84.1</w:t>
            </w:r>
          </w:p>
        </w:tc>
        <w:tc>
          <w:tcPr>
            <w:tcW w:type="dxa" w:w="2160"/>
          </w:tcPr>
          <w:p>
            <w:r>
              <w:rPr>
                <w:rFonts w:ascii="Times New Roman" w:hAnsi="Times New Roman"/>
                <w:sz w:val="20"/>
              </w:rPr>
              <w:t>P &lt; 0.001</w:t>
            </w:r>
          </w:p>
        </w:tc>
      </w:tr>
      <w:tr>
        <w:tc>
          <w:tcPr>
            <w:tcW w:type="dxa" w:w="2160"/>
          </w:tcPr>
          <w:p>
            <w:r>
              <w:rPr>
                <w:rFonts w:ascii="Times New Roman" w:hAnsi="Times New Roman"/>
                <w:sz w:val="20"/>
              </w:rPr>
              <w:t>surgical duration</w:t>
            </w:r>
          </w:p>
        </w:tc>
        <w:tc>
          <w:tcPr>
            <w:tcW w:type="dxa" w:w="2160"/>
          </w:tcPr>
          <w:p>
            <w:r>
              <w:rPr>
                <w:rFonts w:ascii="Times New Roman" w:hAnsi="Times New Roman"/>
                <w:sz w:val="20"/>
              </w:rPr>
              <w:t>0.8%</w:t>
            </w:r>
          </w:p>
        </w:tc>
        <w:tc>
          <w:tcPr>
            <w:tcW w:type="dxa" w:w="2160"/>
          </w:tcPr>
          <w:p>
            <w:r>
              <w:rPr>
                <w:rFonts w:ascii="Times New Roman" w:hAnsi="Times New Roman"/>
                <w:sz w:val="20"/>
              </w:rPr>
              <w:t>0.6 to 0.9</w:t>
            </w:r>
          </w:p>
        </w:tc>
        <w:tc>
          <w:tcPr>
            <w:tcW w:type="dxa" w:w="2160"/>
          </w:tcPr>
          <w:p>
            <w:r>
              <w:rPr>
                <w:rFonts w:ascii="Times New Roman" w:hAnsi="Times New Roman"/>
                <w:sz w:val="20"/>
              </w:rPr>
              <w:t>P &lt; 0.001</w:t>
            </w:r>
          </w:p>
        </w:tc>
      </w:tr>
      <w:tr>
        <w:tc>
          <w:tcPr>
            <w:tcW w:type="dxa" w:w="2160"/>
          </w:tcPr>
          <w:p>
            <w:r>
              <w:rPr>
                <w:rFonts w:ascii="Times New Roman" w:hAnsi="Times New Roman"/>
                <w:sz w:val="20"/>
              </w:rPr>
              <w:t>emergency cesarean section</w:t>
            </w:r>
          </w:p>
        </w:tc>
        <w:tc>
          <w:tcPr>
            <w:tcW w:type="dxa" w:w="2160"/>
          </w:tcPr>
          <w:p>
            <w:r>
              <w:rPr>
                <w:rFonts w:ascii="Times New Roman" w:hAnsi="Times New Roman"/>
                <w:sz w:val="20"/>
              </w:rPr>
              <w:t>-17.3%</w:t>
            </w:r>
          </w:p>
        </w:tc>
        <w:tc>
          <w:tcPr>
            <w:tcW w:type="dxa" w:w="2160"/>
          </w:tcPr>
          <w:p>
            <w:r>
              <w:rPr>
                <w:rFonts w:ascii="Times New Roman" w:hAnsi="Times New Roman"/>
                <w:sz w:val="20"/>
              </w:rPr>
              <w:t>-21.1 to -13.4</w:t>
            </w:r>
          </w:p>
        </w:tc>
        <w:tc>
          <w:tcPr>
            <w:tcW w:type="dxa" w:w="2160"/>
          </w:tcPr>
          <w:p>
            <w:r>
              <w:rPr>
                <w:rFonts w:ascii="Times New Roman" w:hAnsi="Times New Roman"/>
                <w:sz w:val="20"/>
              </w:rPr>
              <w:t>P &lt; 0.001</w:t>
            </w:r>
          </w:p>
        </w:tc>
      </w:tr>
      <w:tr>
        <w:tc>
          <w:tcPr>
            <w:tcW w:type="dxa" w:w="2160"/>
          </w:tcPr>
          <w:p>
            <w:r>
              <w:rPr>
                <w:rFonts w:ascii="Times New Roman" w:hAnsi="Times New Roman"/>
                <w:sz w:val="20"/>
              </w:rPr>
              <w:t>epidural anesthesia</w:t>
            </w:r>
          </w:p>
        </w:tc>
        <w:tc>
          <w:tcPr>
            <w:tcW w:type="dxa" w:w="2160"/>
          </w:tcPr>
          <w:p>
            <w:r>
              <w:rPr>
                <w:rFonts w:ascii="Times New Roman" w:hAnsi="Times New Roman"/>
                <w:sz w:val="20"/>
              </w:rPr>
              <w:t>15.7%</w:t>
            </w:r>
          </w:p>
        </w:tc>
        <w:tc>
          <w:tcPr>
            <w:tcW w:type="dxa" w:w="2160"/>
          </w:tcPr>
          <w:p>
            <w:r>
              <w:rPr>
                <w:rFonts w:ascii="Times New Roman" w:hAnsi="Times New Roman"/>
                <w:sz w:val="20"/>
              </w:rPr>
              <w:t>11.0 to 20.5</w:t>
            </w:r>
          </w:p>
        </w:tc>
        <w:tc>
          <w:tcPr>
            <w:tcW w:type="dxa" w:w="2160"/>
          </w:tcPr>
          <w:p>
            <w:r>
              <w:rPr>
                <w:rFonts w:ascii="Times New Roman" w:hAnsi="Times New Roman"/>
                <w:sz w:val="20"/>
              </w:rPr>
              <w:t>P &lt; 0.001</w:t>
            </w:r>
          </w:p>
        </w:tc>
      </w:tr>
      <w:tr>
        <w:tc>
          <w:tcPr>
            <w:tcW w:type="dxa" w:w="2160"/>
          </w:tcPr>
          <w:p>
            <w:r>
              <w:rPr>
                <w:rFonts w:ascii="Times New Roman" w:hAnsi="Times New Roman"/>
                <w:sz w:val="20"/>
              </w:rPr>
              <w:t>number of hypotension episodes</w:t>
            </w:r>
          </w:p>
        </w:tc>
        <w:tc>
          <w:tcPr>
            <w:tcW w:type="dxa" w:w="2160"/>
          </w:tcPr>
          <w:p>
            <w:r>
              <w:rPr>
                <w:rFonts w:ascii="Times New Roman" w:hAnsi="Times New Roman"/>
                <w:sz w:val="20"/>
              </w:rPr>
              <w:t>1.4%</w:t>
            </w:r>
          </w:p>
        </w:tc>
        <w:tc>
          <w:tcPr>
            <w:tcW w:type="dxa" w:w="2160"/>
          </w:tcPr>
          <w:p>
            <w:r>
              <w:rPr>
                <w:rFonts w:ascii="Times New Roman" w:hAnsi="Times New Roman"/>
                <w:sz w:val="20"/>
              </w:rPr>
              <w:t>0.9 to 1.9</w:t>
            </w:r>
          </w:p>
        </w:tc>
        <w:tc>
          <w:tcPr>
            <w:tcW w:type="dxa" w:w="2160"/>
          </w:tcPr>
          <w:p>
            <w:r>
              <w:rPr>
                <w:rFonts w:ascii="Times New Roman" w:hAnsi="Times New Roman"/>
                <w:sz w:val="20"/>
              </w:rPr>
              <w:t>P &lt; 0.001</w:t>
            </w:r>
          </w:p>
        </w:tc>
      </w:tr>
      <w:tr>
        <w:tc>
          <w:tcPr>
            <w:tcW w:type="dxa" w:w="2160"/>
          </w:tcPr>
          <w:p>
            <w:r>
              <w:rPr>
                <w:rFonts w:ascii="Times New Roman" w:hAnsi="Times New Roman"/>
                <w:sz w:val="20"/>
              </w:rPr>
              <w:t>age</w:t>
            </w:r>
          </w:p>
        </w:tc>
        <w:tc>
          <w:tcPr>
            <w:tcW w:type="dxa" w:w="2160"/>
          </w:tcPr>
          <w:p>
            <w:r>
              <w:rPr>
                <w:rFonts w:ascii="Times New Roman" w:hAnsi="Times New Roman"/>
                <w:sz w:val="20"/>
              </w:rPr>
              <w:t>0.9%</w:t>
            </w:r>
          </w:p>
        </w:tc>
        <w:tc>
          <w:tcPr>
            <w:tcW w:type="dxa" w:w="2160"/>
          </w:tcPr>
          <w:p>
            <w:r>
              <w:rPr>
                <w:rFonts w:ascii="Times New Roman" w:hAnsi="Times New Roman"/>
                <w:sz w:val="20"/>
              </w:rPr>
              <w:t>0.6 to 1.3</w:t>
            </w:r>
          </w:p>
        </w:tc>
        <w:tc>
          <w:tcPr>
            <w:tcW w:type="dxa" w:w="2160"/>
          </w:tcPr>
          <w:p>
            <w:r>
              <w:rPr>
                <w:rFonts w:ascii="Times New Roman" w:hAnsi="Times New Roman"/>
                <w:sz w:val="20"/>
              </w:rPr>
              <w:t>P &lt; 0.001</w:t>
            </w:r>
          </w:p>
        </w:tc>
      </w:tr>
      <w:tr>
        <w:tc>
          <w:tcPr>
            <w:tcW w:type="dxa" w:w="2160"/>
          </w:tcPr>
          <w:p>
            <w:r>
              <w:rPr>
                <w:rFonts w:ascii="Times New Roman" w:hAnsi="Times New Roman"/>
                <w:sz w:val="20"/>
              </w:rPr>
              <w:t>prior cesarean delivery</w:t>
            </w:r>
          </w:p>
        </w:tc>
        <w:tc>
          <w:tcPr>
            <w:tcW w:type="dxa" w:w="2160"/>
          </w:tcPr>
          <w:p>
            <w:r>
              <w:rPr>
                <w:rFonts w:ascii="Times New Roman" w:hAnsi="Times New Roman"/>
                <w:sz w:val="20"/>
              </w:rPr>
              <w:t>-8.9%</w:t>
            </w:r>
          </w:p>
        </w:tc>
        <w:tc>
          <w:tcPr>
            <w:tcW w:type="dxa" w:w="2160"/>
          </w:tcPr>
          <w:p>
            <w:r>
              <w:rPr>
                <w:rFonts w:ascii="Times New Roman" w:hAnsi="Times New Roman"/>
                <w:sz w:val="20"/>
              </w:rPr>
              <w:t>-13.0 to -4.7</w:t>
            </w:r>
          </w:p>
        </w:tc>
        <w:tc>
          <w:tcPr>
            <w:tcW w:type="dxa" w:w="2160"/>
          </w:tcPr>
          <w:p>
            <w:r>
              <w:rPr>
                <w:rFonts w:ascii="Times New Roman" w:hAnsi="Times New Roman"/>
                <w:sz w:val="20"/>
              </w:rPr>
              <w:t>P &lt; 0.001</w:t>
            </w:r>
          </w:p>
        </w:tc>
      </w:tr>
      <w:tr>
        <w:tc>
          <w:tcPr>
            <w:tcW w:type="dxa" w:w="2160"/>
          </w:tcPr>
          <w:p>
            <w:r>
              <w:rPr>
                <w:rFonts w:ascii="Times New Roman" w:hAnsi="Times New Roman"/>
                <w:sz w:val="20"/>
              </w:rPr>
              <w:t>gestational age</w:t>
            </w:r>
          </w:p>
        </w:tc>
        <w:tc>
          <w:tcPr>
            <w:tcW w:type="dxa" w:w="2160"/>
          </w:tcPr>
          <w:p>
            <w:r>
              <w:rPr>
                <w:rFonts w:ascii="Times New Roman" w:hAnsi="Times New Roman"/>
                <w:sz w:val="20"/>
              </w:rPr>
              <w:t>0.4%</w:t>
            </w:r>
          </w:p>
        </w:tc>
        <w:tc>
          <w:tcPr>
            <w:tcW w:type="dxa" w:w="2160"/>
          </w:tcPr>
          <w:p>
            <w:r>
              <w:rPr>
                <w:rFonts w:ascii="Times New Roman" w:hAnsi="Times New Roman"/>
                <w:sz w:val="20"/>
              </w:rPr>
              <w:t>-0.3 to 1.0</w:t>
            </w:r>
          </w:p>
        </w:tc>
        <w:tc>
          <w:tcPr>
            <w:tcW w:type="dxa" w:w="2160"/>
          </w:tcPr>
          <w:p>
            <w:r>
              <w:rPr>
                <w:rFonts w:ascii="Times New Roman" w:hAnsi="Times New Roman"/>
                <w:sz w:val="20"/>
              </w:rPr>
              <w:t>P = 0.270</w:t>
            </w:r>
          </w:p>
        </w:tc>
      </w:tr>
      <w:tr>
        <w:tc>
          <w:tcPr>
            <w:tcW w:type="dxa" w:w="2160"/>
          </w:tcPr>
          <w:p>
            <w:r>
              <w:rPr>
                <w:rFonts w:ascii="Times New Roman" w:hAnsi="Times New Roman"/>
                <w:sz w:val="20"/>
              </w:rPr>
              <w:t>BMI</w:t>
            </w:r>
          </w:p>
        </w:tc>
        <w:tc>
          <w:tcPr>
            <w:tcW w:type="dxa" w:w="2160"/>
          </w:tcPr>
          <w:p>
            <w:r>
              <w:rPr>
                <w:rFonts w:ascii="Times New Roman" w:hAnsi="Times New Roman"/>
                <w:sz w:val="20"/>
              </w:rPr>
              <w:t>0.1%</w:t>
            </w:r>
          </w:p>
        </w:tc>
        <w:tc>
          <w:tcPr>
            <w:tcW w:type="dxa" w:w="2160"/>
          </w:tcPr>
          <w:p>
            <w:r>
              <w:rPr>
                <w:rFonts w:ascii="Times New Roman" w:hAnsi="Times New Roman"/>
                <w:sz w:val="20"/>
              </w:rPr>
              <w:t>-0.1 to 0.2</w:t>
            </w:r>
          </w:p>
        </w:tc>
        <w:tc>
          <w:tcPr>
            <w:tcW w:type="dxa" w:w="2160"/>
          </w:tcPr>
          <w:p>
            <w:r>
              <w:rPr>
                <w:rFonts w:ascii="Times New Roman" w:hAnsi="Times New Roman"/>
                <w:sz w:val="20"/>
              </w:rPr>
              <w:t>P = 0.484</w:t>
            </w:r>
          </w:p>
        </w:tc>
      </w:tr>
      <w:tr>
        <w:tc>
          <w:tcPr>
            <w:tcW w:type="dxa" w:w="2160"/>
          </w:tcPr>
          <w:p>
            <w:r>
              <w:rPr>
                <w:rFonts w:ascii="Times New Roman" w:hAnsi="Times New Roman"/>
                <w:sz w:val="20"/>
              </w:rPr>
              <w:t>hypertensive disorders of pregnancy</w:t>
            </w:r>
          </w:p>
        </w:tc>
        <w:tc>
          <w:tcPr>
            <w:tcW w:type="dxa" w:w="2160"/>
          </w:tcPr>
          <w:p>
            <w:r>
              <w:rPr>
                <w:rFonts w:ascii="Times New Roman" w:hAnsi="Times New Roman"/>
                <w:sz w:val="20"/>
              </w:rPr>
              <w:t>1.8%</w:t>
            </w:r>
          </w:p>
        </w:tc>
        <w:tc>
          <w:tcPr>
            <w:tcW w:type="dxa" w:w="2160"/>
          </w:tcPr>
          <w:p>
            <w:r>
              <w:rPr>
                <w:rFonts w:ascii="Times New Roman" w:hAnsi="Times New Roman"/>
                <w:sz w:val="20"/>
              </w:rPr>
              <w:t>-5.0 to 9.1</w:t>
            </w:r>
          </w:p>
        </w:tc>
        <w:tc>
          <w:tcPr>
            <w:tcW w:type="dxa" w:w="2160"/>
          </w:tcPr>
          <w:p>
            <w:r>
              <w:rPr>
                <w:rFonts w:ascii="Times New Roman" w:hAnsi="Times New Roman"/>
                <w:sz w:val="20"/>
              </w:rPr>
              <w:t>P = 0.611</w:t>
            </w:r>
          </w:p>
        </w:tc>
      </w:tr>
    </w:tbl>
    <w:p/>
    <w:p>
      <w:r>
        <w:drawing>
          <wp:inline xmlns:a="http://schemas.openxmlformats.org/drawingml/2006/main" xmlns:pic="http://schemas.openxmlformats.org/drawingml/2006/picture">
            <wp:extent cx="5486400" cy="4089777"/>
            <wp:docPr id="3" name="Picture 3"/>
            <wp:cNvGraphicFramePr>
              <a:graphicFrameLocks noChangeAspect="1"/>
            </wp:cNvGraphicFramePr>
            <a:graphic>
              <a:graphicData uri="http://schemas.openxmlformats.org/drawingml/2006/picture">
                <pic:pic>
                  <pic:nvPicPr>
                    <pic:cNvPr id="0" name="fig3_forest_blood_loss.png"/>
                    <pic:cNvPicPr/>
                  </pic:nvPicPr>
                  <pic:blipFill>
                    <a:blip r:embed="rId11"/>
                    <a:stretch>
                      <a:fillRect/>
                    </a:stretch>
                  </pic:blipFill>
                  <pic:spPr>
                    <a:xfrm>
                      <a:off x="0" y="0"/>
                      <a:ext cx="5486400" cy="4089777"/>
                    </a:xfrm>
                    <a:prstGeom prst="rect"/>
                  </pic:spPr>
                </pic:pic>
              </a:graphicData>
            </a:graphic>
          </wp:inline>
        </w:drawing>
      </w:r>
    </w:p>
    <w:p>
      <w:pPr>
        <w:jc w:val="left"/>
      </w:pPr>
      <w:r>
        <w:rPr>
          <w:rFonts w:ascii="Times New Roman" w:hAnsi="Times New Roman"/>
          <w:i/>
          <w:sz w:val="20"/>
        </w:rPr>
        <w:t>Figure 3. Forest plot showing the percentage change in estimated blood loss and 95% confidence intervals from multivariable linear regression (log-transformed EBL).</w:t>
      </w:r>
    </w:p>
    <w:p/>
    <w:p>
      <w:pPr>
        <w:pStyle w:val="Heading2"/>
      </w:pPr>
      <w:r>
        <w:rPr>
          <w:rFonts w:ascii="Times New Roman" w:hAnsi="Times New Roman"/>
          <w:color w:val="000000"/>
        </w:rPr>
        <w:t>Transfusion</w:t>
      </w:r>
    </w:p>
    <w:p>
      <w:r>
        <w:rPr>
          <w:rFonts w:ascii="Times New Roman" w:hAnsi="Times New Roman"/>
          <w:b w:val="0"/>
          <w:i w:val="0"/>
          <w:sz w:val="24"/>
        </w:rPr>
        <w:t>Intraoperative transfusion was administered in 128 patients (4.3%). Patients who received transfusion were older (median 35 vs. 34 years; P &lt; 0.001), had earlier gestational age (median 37.1 vs. 38.1 weeks; P &lt; 0.001), received more intravenous fluids (median 1425 vs. 990 mL; P &lt; 0.001), and had higher oxytocin doses (median 15 vs. 10 U; P &lt; 0.001) (Table 1).</w:t>
      </w:r>
    </w:p>
    <w:p>
      <w:r>
        <w:rPr>
          <w:rFonts w:ascii="Times New Roman" w:hAnsi="Times New Roman"/>
          <w:b w:val="0"/>
          <w:i w:val="0"/>
          <w:sz w:val="24"/>
        </w:rPr>
        <w:t>Multivariable logistic regression (n = 2,858; 126 events) identified placenta previa as the strongest independent risk factor for transfusion (OR 88.14 (95% CI: 47.47–163.65); P &lt; 0.001). Additional significant predictors included surgical duration (OR 1.03 (95% CI: 1.01–1.04); P &lt; 0.001), age (OR 1.07 (95% CI: 1.02–1.12); P = 0.007), epidural anesthesia (OR 1.81 (95% CI: 1.12–2.92); P = 0.016). The model achieved excellent discrimination (AUC = 0.946) (Fig. 6A).</w:t>
      </w:r>
    </w:p>
    <w:p>
      <w:r>
        <w:rPr>
          <w:rFonts w:ascii="Times New Roman" w:hAnsi="Times New Roman"/>
          <w:b/>
          <w:i w:val="0"/>
          <w:sz w:val="24"/>
        </w:rPr>
        <w:t>Table 3. Multivariable logistic regression: Factors associated with intraoperative transfusion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sz w:val="20"/>
              </w:rPr>
              <w:t>Variable</w:t>
            </w:r>
          </w:p>
        </w:tc>
        <w:tc>
          <w:tcPr>
            <w:tcW w:type="dxa" w:w="2160"/>
          </w:tcPr>
          <w:p>
            <w:r>
              <w:rPr>
                <w:rFonts w:ascii="Times New Roman" w:hAnsi="Times New Roman"/>
                <w:sz w:val="20"/>
              </w:rPr>
              <w:t>Odds Ratio</w:t>
            </w:r>
          </w:p>
        </w:tc>
        <w:tc>
          <w:tcPr>
            <w:tcW w:type="dxa" w:w="2160"/>
          </w:tcPr>
          <w:p>
            <w:r>
              <w:rPr>
                <w:rFonts w:ascii="Times New Roman" w:hAnsi="Times New Roman"/>
                <w:sz w:val="20"/>
              </w:rPr>
              <w:t>95% CI</w:t>
            </w:r>
          </w:p>
        </w:tc>
        <w:tc>
          <w:tcPr>
            <w:tcW w:type="dxa" w:w="2160"/>
          </w:tcPr>
          <w:p>
            <w:r>
              <w:rPr>
                <w:rFonts w:ascii="Times New Roman" w:hAnsi="Times New Roman"/>
                <w:sz w:val="20"/>
              </w:rPr>
              <w:t>P-value</w:t>
            </w:r>
          </w:p>
        </w:tc>
      </w:tr>
      <w:tr>
        <w:tc>
          <w:tcPr>
            <w:tcW w:type="dxa" w:w="2160"/>
          </w:tcPr>
          <w:p>
            <w:r>
              <w:rPr>
                <w:rFonts w:ascii="Times New Roman" w:hAnsi="Times New Roman"/>
                <w:sz w:val="20"/>
              </w:rPr>
              <w:t>placenta previa or low-lying placenta</w:t>
            </w:r>
          </w:p>
        </w:tc>
        <w:tc>
          <w:tcPr>
            <w:tcW w:type="dxa" w:w="2160"/>
          </w:tcPr>
          <w:p>
            <w:r>
              <w:rPr>
                <w:rFonts w:ascii="Times New Roman" w:hAnsi="Times New Roman"/>
                <w:sz w:val="20"/>
              </w:rPr>
              <w:t>88.14</w:t>
            </w:r>
          </w:p>
        </w:tc>
        <w:tc>
          <w:tcPr>
            <w:tcW w:type="dxa" w:w="2160"/>
          </w:tcPr>
          <w:p>
            <w:r>
              <w:rPr>
                <w:rFonts w:ascii="Times New Roman" w:hAnsi="Times New Roman"/>
                <w:sz w:val="20"/>
              </w:rPr>
              <w:t>47.47–163.65</w:t>
            </w:r>
          </w:p>
        </w:tc>
        <w:tc>
          <w:tcPr>
            <w:tcW w:type="dxa" w:w="2160"/>
          </w:tcPr>
          <w:p>
            <w:r>
              <w:rPr>
                <w:rFonts w:ascii="Times New Roman" w:hAnsi="Times New Roman"/>
                <w:sz w:val="20"/>
              </w:rPr>
              <w:t>P &lt; 0.001</w:t>
            </w:r>
          </w:p>
        </w:tc>
      </w:tr>
      <w:tr>
        <w:tc>
          <w:tcPr>
            <w:tcW w:type="dxa" w:w="2160"/>
          </w:tcPr>
          <w:p>
            <w:r>
              <w:rPr>
                <w:rFonts w:ascii="Times New Roman" w:hAnsi="Times New Roman"/>
                <w:sz w:val="20"/>
              </w:rPr>
              <w:t>surgical duration</w:t>
            </w:r>
          </w:p>
        </w:tc>
        <w:tc>
          <w:tcPr>
            <w:tcW w:type="dxa" w:w="2160"/>
          </w:tcPr>
          <w:p>
            <w:r>
              <w:rPr>
                <w:rFonts w:ascii="Times New Roman" w:hAnsi="Times New Roman"/>
                <w:sz w:val="20"/>
              </w:rPr>
              <w:t>1.03</w:t>
            </w:r>
          </w:p>
        </w:tc>
        <w:tc>
          <w:tcPr>
            <w:tcW w:type="dxa" w:w="2160"/>
          </w:tcPr>
          <w:p>
            <w:r>
              <w:rPr>
                <w:rFonts w:ascii="Times New Roman" w:hAnsi="Times New Roman"/>
                <w:sz w:val="20"/>
              </w:rPr>
              <w:t>1.01–1.04</w:t>
            </w:r>
          </w:p>
        </w:tc>
        <w:tc>
          <w:tcPr>
            <w:tcW w:type="dxa" w:w="2160"/>
          </w:tcPr>
          <w:p>
            <w:r>
              <w:rPr>
                <w:rFonts w:ascii="Times New Roman" w:hAnsi="Times New Roman"/>
                <w:sz w:val="20"/>
              </w:rPr>
              <w:t>P &lt; 0.001</w:t>
            </w:r>
          </w:p>
        </w:tc>
      </w:tr>
      <w:tr>
        <w:tc>
          <w:tcPr>
            <w:tcW w:type="dxa" w:w="2160"/>
          </w:tcPr>
          <w:p>
            <w:r>
              <w:rPr>
                <w:rFonts w:ascii="Times New Roman" w:hAnsi="Times New Roman"/>
                <w:sz w:val="20"/>
              </w:rPr>
              <w:t>age</w:t>
            </w:r>
          </w:p>
        </w:tc>
        <w:tc>
          <w:tcPr>
            <w:tcW w:type="dxa" w:w="2160"/>
          </w:tcPr>
          <w:p>
            <w:r>
              <w:rPr>
                <w:rFonts w:ascii="Times New Roman" w:hAnsi="Times New Roman"/>
                <w:sz w:val="20"/>
              </w:rPr>
              <w:t>1.07</w:t>
            </w:r>
          </w:p>
        </w:tc>
        <w:tc>
          <w:tcPr>
            <w:tcW w:type="dxa" w:w="2160"/>
          </w:tcPr>
          <w:p>
            <w:r>
              <w:rPr>
                <w:rFonts w:ascii="Times New Roman" w:hAnsi="Times New Roman"/>
                <w:sz w:val="20"/>
              </w:rPr>
              <w:t>1.02–1.12</w:t>
            </w:r>
          </w:p>
        </w:tc>
        <w:tc>
          <w:tcPr>
            <w:tcW w:type="dxa" w:w="2160"/>
          </w:tcPr>
          <w:p>
            <w:r>
              <w:rPr>
                <w:rFonts w:ascii="Times New Roman" w:hAnsi="Times New Roman"/>
                <w:sz w:val="20"/>
              </w:rPr>
              <w:t>P = 0.007</w:t>
            </w:r>
          </w:p>
        </w:tc>
      </w:tr>
      <w:tr>
        <w:tc>
          <w:tcPr>
            <w:tcW w:type="dxa" w:w="2160"/>
          </w:tcPr>
          <w:p>
            <w:r>
              <w:rPr>
                <w:rFonts w:ascii="Times New Roman" w:hAnsi="Times New Roman"/>
                <w:sz w:val="20"/>
              </w:rPr>
              <w:t>epidural anesthesia</w:t>
            </w:r>
          </w:p>
        </w:tc>
        <w:tc>
          <w:tcPr>
            <w:tcW w:type="dxa" w:w="2160"/>
          </w:tcPr>
          <w:p>
            <w:r>
              <w:rPr>
                <w:rFonts w:ascii="Times New Roman" w:hAnsi="Times New Roman"/>
                <w:sz w:val="20"/>
              </w:rPr>
              <w:t>1.81</w:t>
            </w:r>
          </w:p>
        </w:tc>
        <w:tc>
          <w:tcPr>
            <w:tcW w:type="dxa" w:w="2160"/>
          </w:tcPr>
          <w:p>
            <w:r>
              <w:rPr>
                <w:rFonts w:ascii="Times New Roman" w:hAnsi="Times New Roman"/>
                <w:sz w:val="20"/>
              </w:rPr>
              <w:t>1.12–2.92</w:t>
            </w:r>
          </w:p>
        </w:tc>
        <w:tc>
          <w:tcPr>
            <w:tcW w:type="dxa" w:w="2160"/>
          </w:tcPr>
          <w:p>
            <w:r>
              <w:rPr>
                <w:rFonts w:ascii="Times New Roman" w:hAnsi="Times New Roman"/>
                <w:sz w:val="20"/>
              </w:rPr>
              <w:t>P = 0.016</w:t>
            </w:r>
          </w:p>
        </w:tc>
      </w:tr>
      <w:tr>
        <w:tc>
          <w:tcPr>
            <w:tcW w:type="dxa" w:w="2160"/>
          </w:tcPr>
          <w:p>
            <w:r>
              <w:rPr>
                <w:rFonts w:ascii="Times New Roman" w:hAnsi="Times New Roman"/>
                <w:sz w:val="20"/>
              </w:rPr>
              <w:t>prior cesarean delivery</w:t>
            </w:r>
          </w:p>
        </w:tc>
        <w:tc>
          <w:tcPr>
            <w:tcW w:type="dxa" w:w="2160"/>
          </w:tcPr>
          <w:p>
            <w:r>
              <w:rPr>
                <w:rFonts w:ascii="Times New Roman" w:hAnsi="Times New Roman"/>
                <w:sz w:val="20"/>
              </w:rPr>
              <w:t>0.66</w:t>
            </w:r>
          </w:p>
        </w:tc>
        <w:tc>
          <w:tcPr>
            <w:tcW w:type="dxa" w:w="2160"/>
          </w:tcPr>
          <w:p>
            <w:r>
              <w:rPr>
                <w:rFonts w:ascii="Times New Roman" w:hAnsi="Times New Roman"/>
                <w:sz w:val="20"/>
              </w:rPr>
              <w:t>0.36–1.22</w:t>
            </w:r>
          </w:p>
        </w:tc>
        <w:tc>
          <w:tcPr>
            <w:tcW w:type="dxa" w:w="2160"/>
          </w:tcPr>
          <w:p>
            <w:r>
              <w:rPr>
                <w:rFonts w:ascii="Times New Roman" w:hAnsi="Times New Roman"/>
                <w:sz w:val="20"/>
              </w:rPr>
              <w:t>P = 0.185</w:t>
            </w:r>
          </w:p>
        </w:tc>
      </w:tr>
      <w:tr>
        <w:tc>
          <w:tcPr>
            <w:tcW w:type="dxa" w:w="2160"/>
          </w:tcPr>
          <w:p>
            <w:r>
              <w:rPr>
                <w:rFonts w:ascii="Times New Roman" w:hAnsi="Times New Roman"/>
                <w:sz w:val="20"/>
              </w:rPr>
              <w:t>emergency cesarean section</w:t>
            </w:r>
          </w:p>
        </w:tc>
        <w:tc>
          <w:tcPr>
            <w:tcW w:type="dxa" w:w="2160"/>
          </w:tcPr>
          <w:p>
            <w:r>
              <w:rPr>
                <w:rFonts w:ascii="Times New Roman" w:hAnsi="Times New Roman"/>
                <w:sz w:val="20"/>
              </w:rPr>
              <w:t>0.68</w:t>
            </w:r>
          </w:p>
        </w:tc>
        <w:tc>
          <w:tcPr>
            <w:tcW w:type="dxa" w:w="2160"/>
          </w:tcPr>
          <w:p>
            <w:r>
              <w:rPr>
                <w:rFonts w:ascii="Times New Roman" w:hAnsi="Times New Roman"/>
                <w:sz w:val="20"/>
              </w:rPr>
              <w:t>0.37–1.24</w:t>
            </w:r>
          </w:p>
        </w:tc>
        <w:tc>
          <w:tcPr>
            <w:tcW w:type="dxa" w:w="2160"/>
          </w:tcPr>
          <w:p>
            <w:r>
              <w:rPr>
                <w:rFonts w:ascii="Times New Roman" w:hAnsi="Times New Roman"/>
                <w:sz w:val="20"/>
              </w:rPr>
              <w:t>P = 0.205</w:t>
            </w:r>
          </w:p>
        </w:tc>
      </w:tr>
      <w:tr>
        <w:tc>
          <w:tcPr>
            <w:tcW w:type="dxa" w:w="2160"/>
          </w:tcPr>
          <w:p>
            <w:r>
              <w:rPr>
                <w:rFonts w:ascii="Times New Roman" w:hAnsi="Times New Roman"/>
                <w:sz w:val="20"/>
              </w:rPr>
              <w:t>hypertensive disorders of pregnancy</w:t>
            </w:r>
          </w:p>
        </w:tc>
        <w:tc>
          <w:tcPr>
            <w:tcW w:type="dxa" w:w="2160"/>
          </w:tcPr>
          <w:p>
            <w:r>
              <w:rPr>
                <w:rFonts w:ascii="Times New Roman" w:hAnsi="Times New Roman"/>
                <w:sz w:val="20"/>
              </w:rPr>
              <w:t>0.26</w:t>
            </w:r>
          </w:p>
        </w:tc>
        <w:tc>
          <w:tcPr>
            <w:tcW w:type="dxa" w:w="2160"/>
          </w:tcPr>
          <w:p>
            <w:r>
              <w:rPr>
                <w:rFonts w:ascii="Times New Roman" w:hAnsi="Times New Roman"/>
                <w:sz w:val="20"/>
              </w:rPr>
              <w:t>0.03–2.26</w:t>
            </w:r>
          </w:p>
        </w:tc>
        <w:tc>
          <w:tcPr>
            <w:tcW w:type="dxa" w:w="2160"/>
          </w:tcPr>
          <w:p>
            <w:r>
              <w:rPr>
                <w:rFonts w:ascii="Times New Roman" w:hAnsi="Times New Roman"/>
                <w:sz w:val="20"/>
              </w:rPr>
              <w:t>P = 0.222</w:t>
            </w:r>
          </w:p>
        </w:tc>
      </w:tr>
      <w:tr>
        <w:tc>
          <w:tcPr>
            <w:tcW w:type="dxa" w:w="2160"/>
          </w:tcPr>
          <w:p>
            <w:r>
              <w:rPr>
                <w:rFonts w:ascii="Times New Roman" w:hAnsi="Times New Roman"/>
                <w:sz w:val="20"/>
              </w:rPr>
              <w:t>gestational age</w:t>
            </w:r>
          </w:p>
        </w:tc>
        <w:tc>
          <w:tcPr>
            <w:tcW w:type="dxa" w:w="2160"/>
          </w:tcPr>
          <w:p>
            <w:r>
              <w:rPr>
                <w:rFonts w:ascii="Times New Roman" w:hAnsi="Times New Roman"/>
                <w:sz w:val="20"/>
              </w:rPr>
              <w:t>0.96</w:t>
            </w:r>
          </w:p>
        </w:tc>
        <w:tc>
          <w:tcPr>
            <w:tcW w:type="dxa" w:w="2160"/>
          </w:tcPr>
          <w:p>
            <w:r>
              <w:rPr>
                <w:rFonts w:ascii="Times New Roman" w:hAnsi="Times New Roman"/>
                <w:sz w:val="20"/>
              </w:rPr>
              <w:t>0.87–1.08</w:t>
            </w:r>
          </w:p>
        </w:tc>
        <w:tc>
          <w:tcPr>
            <w:tcW w:type="dxa" w:w="2160"/>
          </w:tcPr>
          <w:p>
            <w:r>
              <w:rPr>
                <w:rFonts w:ascii="Times New Roman" w:hAnsi="Times New Roman"/>
                <w:sz w:val="20"/>
              </w:rPr>
              <w:t>P = 0.513</w:t>
            </w:r>
          </w:p>
        </w:tc>
      </w:tr>
      <w:tr>
        <w:tc>
          <w:tcPr>
            <w:tcW w:type="dxa" w:w="2160"/>
          </w:tcPr>
          <w:p>
            <w:r>
              <w:rPr>
                <w:rFonts w:ascii="Times New Roman" w:hAnsi="Times New Roman"/>
                <w:sz w:val="20"/>
              </w:rPr>
              <w:t>BMI</w:t>
            </w:r>
          </w:p>
        </w:tc>
        <w:tc>
          <w:tcPr>
            <w:tcW w:type="dxa" w:w="2160"/>
          </w:tcPr>
          <w:p>
            <w:r>
              <w:rPr>
                <w:rFonts w:ascii="Times New Roman" w:hAnsi="Times New Roman"/>
                <w:sz w:val="20"/>
              </w:rPr>
              <w:t>1.00</w:t>
            </w:r>
          </w:p>
        </w:tc>
        <w:tc>
          <w:tcPr>
            <w:tcW w:type="dxa" w:w="2160"/>
          </w:tcPr>
          <w:p>
            <w:r>
              <w:rPr>
                <w:rFonts w:ascii="Times New Roman" w:hAnsi="Times New Roman"/>
                <w:sz w:val="20"/>
              </w:rPr>
              <w:t>0.99–1.02</w:t>
            </w:r>
          </w:p>
        </w:tc>
        <w:tc>
          <w:tcPr>
            <w:tcW w:type="dxa" w:w="2160"/>
          </w:tcPr>
          <w:p>
            <w:r>
              <w:rPr>
                <w:rFonts w:ascii="Times New Roman" w:hAnsi="Times New Roman"/>
                <w:sz w:val="20"/>
              </w:rPr>
              <w:t>P = 0.662</w:t>
            </w:r>
          </w:p>
        </w:tc>
      </w:tr>
    </w:tbl>
    <w:p/>
    <w:p>
      <w:r>
        <w:drawing>
          <wp:inline xmlns:a="http://schemas.openxmlformats.org/drawingml/2006/main" xmlns:pic="http://schemas.openxmlformats.org/drawingml/2006/picture">
            <wp:extent cx="5486400" cy="4037380"/>
            <wp:docPr id="4" name="Picture 4"/>
            <wp:cNvGraphicFramePr>
              <a:graphicFrameLocks noChangeAspect="1"/>
            </wp:cNvGraphicFramePr>
            <a:graphic>
              <a:graphicData uri="http://schemas.openxmlformats.org/drawingml/2006/picture">
                <pic:pic>
                  <pic:nvPicPr>
                    <pic:cNvPr id="0" name="fig4_forest_transfusion.png"/>
                    <pic:cNvPicPr/>
                  </pic:nvPicPr>
                  <pic:blipFill>
                    <a:blip r:embed="rId12"/>
                    <a:stretch>
                      <a:fillRect/>
                    </a:stretch>
                  </pic:blipFill>
                  <pic:spPr>
                    <a:xfrm>
                      <a:off x="0" y="0"/>
                      <a:ext cx="5486400" cy="4037380"/>
                    </a:xfrm>
                    <a:prstGeom prst="rect"/>
                  </pic:spPr>
                </pic:pic>
              </a:graphicData>
            </a:graphic>
          </wp:inline>
        </w:drawing>
      </w:r>
    </w:p>
    <w:p>
      <w:pPr>
        <w:jc w:val="left"/>
      </w:pPr>
      <w:r>
        <w:rPr>
          <w:rFonts w:ascii="Times New Roman" w:hAnsi="Times New Roman"/>
          <w:i/>
          <w:sz w:val="20"/>
        </w:rPr>
        <w:t>Figure 4. Forest plot showing odds ratios and 95% confidence intervals from multivariable logistic regression for intraoperative transfusion (log scale).</w:t>
      </w:r>
    </w:p>
    <w:p/>
    <w:p>
      <w:pPr>
        <w:pStyle w:val="Heading2"/>
      </w:pPr>
      <w:r>
        <w:rPr>
          <w:rFonts w:ascii="Times New Roman" w:hAnsi="Times New Roman"/>
          <w:color w:val="000000"/>
        </w:rPr>
        <w:t>Massive Hemorrhage</w:t>
      </w:r>
    </w:p>
    <w:p>
      <w:r>
        <w:rPr>
          <w:rFonts w:ascii="Times New Roman" w:hAnsi="Times New Roman"/>
          <w:b w:val="0"/>
          <w:i w:val="0"/>
          <w:sz w:val="24"/>
        </w:rPr>
        <w:t>Massive hemorrhage (EBL ≥ 1500 mL) occurred in 185 patients (6.3%). In multivariable logistic regression (n = 2,858; 183 events), the strongest independent risk factor was placenta previa (OR 9.15 (95% CI: 6.13–13.67); P &lt; 0.001). surgical duration was a risk factor (OR 1.05 (95% CI: 1.04–1.06); P &lt; 0.001). emergency cesarean section was a protective factor (OR 0.43 (95% CI: 0.28–0.67); P &lt; 0.001). prior cesarean delivery was a protective factor (OR 0.50 (95% CI: 0.33–0.75); P &lt; 0.001). epidural anesthesia was a risk factor (OR 1.71 (95% CI: 1.20–2.44); P = 0.003). Model discrimination was good (AUC = 0.820) (Fig. 6B).</w:t>
      </w:r>
    </w:p>
    <w:p>
      <w:r>
        <w:rPr>
          <w:rFonts w:ascii="Times New Roman" w:hAnsi="Times New Roman"/>
          <w:b/>
          <w:i w:val="0"/>
          <w:sz w:val="24"/>
        </w:rPr>
        <w:t>Table 4. Multivariable logistic regression: Factors associated with massive hemorrhage (EBL ≥ 1500 mL)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sz w:val="20"/>
              </w:rPr>
              <w:t>Variable</w:t>
            </w:r>
          </w:p>
        </w:tc>
        <w:tc>
          <w:tcPr>
            <w:tcW w:type="dxa" w:w="2160"/>
          </w:tcPr>
          <w:p>
            <w:r>
              <w:rPr>
                <w:rFonts w:ascii="Times New Roman" w:hAnsi="Times New Roman"/>
                <w:sz w:val="20"/>
              </w:rPr>
              <w:t>Odds Ratio</w:t>
            </w:r>
          </w:p>
        </w:tc>
        <w:tc>
          <w:tcPr>
            <w:tcW w:type="dxa" w:w="2160"/>
          </w:tcPr>
          <w:p>
            <w:r>
              <w:rPr>
                <w:rFonts w:ascii="Times New Roman" w:hAnsi="Times New Roman"/>
                <w:sz w:val="20"/>
              </w:rPr>
              <w:t>95% CI</w:t>
            </w:r>
          </w:p>
        </w:tc>
        <w:tc>
          <w:tcPr>
            <w:tcW w:type="dxa" w:w="2160"/>
          </w:tcPr>
          <w:p>
            <w:r>
              <w:rPr>
                <w:rFonts w:ascii="Times New Roman" w:hAnsi="Times New Roman"/>
                <w:sz w:val="20"/>
              </w:rPr>
              <w:t>P-value</w:t>
            </w:r>
          </w:p>
        </w:tc>
      </w:tr>
      <w:tr>
        <w:tc>
          <w:tcPr>
            <w:tcW w:type="dxa" w:w="2160"/>
          </w:tcPr>
          <w:p>
            <w:r>
              <w:rPr>
                <w:rFonts w:ascii="Times New Roman" w:hAnsi="Times New Roman"/>
                <w:sz w:val="20"/>
              </w:rPr>
              <w:t>placenta previa or low-lying placenta</w:t>
            </w:r>
          </w:p>
        </w:tc>
        <w:tc>
          <w:tcPr>
            <w:tcW w:type="dxa" w:w="2160"/>
          </w:tcPr>
          <w:p>
            <w:r>
              <w:rPr>
                <w:rFonts w:ascii="Times New Roman" w:hAnsi="Times New Roman"/>
                <w:sz w:val="20"/>
              </w:rPr>
              <w:t>9.15</w:t>
            </w:r>
          </w:p>
        </w:tc>
        <w:tc>
          <w:tcPr>
            <w:tcW w:type="dxa" w:w="2160"/>
          </w:tcPr>
          <w:p>
            <w:r>
              <w:rPr>
                <w:rFonts w:ascii="Times New Roman" w:hAnsi="Times New Roman"/>
                <w:sz w:val="20"/>
              </w:rPr>
              <w:t>6.13–13.67</w:t>
            </w:r>
          </w:p>
        </w:tc>
        <w:tc>
          <w:tcPr>
            <w:tcW w:type="dxa" w:w="2160"/>
          </w:tcPr>
          <w:p>
            <w:r>
              <w:rPr>
                <w:rFonts w:ascii="Times New Roman" w:hAnsi="Times New Roman"/>
                <w:sz w:val="20"/>
              </w:rPr>
              <w:t>P &lt; 0.001</w:t>
            </w:r>
          </w:p>
        </w:tc>
      </w:tr>
      <w:tr>
        <w:tc>
          <w:tcPr>
            <w:tcW w:type="dxa" w:w="2160"/>
          </w:tcPr>
          <w:p>
            <w:r>
              <w:rPr>
                <w:rFonts w:ascii="Times New Roman" w:hAnsi="Times New Roman"/>
                <w:sz w:val="20"/>
              </w:rPr>
              <w:t>surgical duration</w:t>
            </w:r>
          </w:p>
        </w:tc>
        <w:tc>
          <w:tcPr>
            <w:tcW w:type="dxa" w:w="2160"/>
          </w:tcPr>
          <w:p>
            <w:r>
              <w:rPr>
                <w:rFonts w:ascii="Times New Roman" w:hAnsi="Times New Roman"/>
                <w:sz w:val="20"/>
              </w:rPr>
              <w:t>1.05</w:t>
            </w:r>
          </w:p>
        </w:tc>
        <w:tc>
          <w:tcPr>
            <w:tcW w:type="dxa" w:w="2160"/>
          </w:tcPr>
          <w:p>
            <w:r>
              <w:rPr>
                <w:rFonts w:ascii="Times New Roman" w:hAnsi="Times New Roman"/>
                <w:sz w:val="20"/>
              </w:rPr>
              <w:t>1.04–1.06</w:t>
            </w:r>
          </w:p>
        </w:tc>
        <w:tc>
          <w:tcPr>
            <w:tcW w:type="dxa" w:w="2160"/>
          </w:tcPr>
          <w:p>
            <w:r>
              <w:rPr>
                <w:rFonts w:ascii="Times New Roman" w:hAnsi="Times New Roman"/>
                <w:sz w:val="20"/>
              </w:rPr>
              <w:t>P &lt; 0.001</w:t>
            </w:r>
          </w:p>
        </w:tc>
      </w:tr>
      <w:tr>
        <w:tc>
          <w:tcPr>
            <w:tcW w:type="dxa" w:w="2160"/>
          </w:tcPr>
          <w:p>
            <w:r>
              <w:rPr>
                <w:rFonts w:ascii="Times New Roman" w:hAnsi="Times New Roman"/>
                <w:sz w:val="20"/>
              </w:rPr>
              <w:t>emergency cesarean section</w:t>
            </w:r>
          </w:p>
        </w:tc>
        <w:tc>
          <w:tcPr>
            <w:tcW w:type="dxa" w:w="2160"/>
          </w:tcPr>
          <w:p>
            <w:r>
              <w:rPr>
                <w:rFonts w:ascii="Times New Roman" w:hAnsi="Times New Roman"/>
                <w:sz w:val="20"/>
              </w:rPr>
              <w:t>0.43</w:t>
            </w:r>
          </w:p>
        </w:tc>
        <w:tc>
          <w:tcPr>
            <w:tcW w:type="dxa" w:w="2160"/>
          </w:tcPr>
          <w:p>
            <w:r>
              <w:rPr>
                <w:rFonts w:ascii="Times New Roman" w:hAnsi="Times New Roman"/>
                <w:sz w:val="20"/>
              </w:rPr>
              <w:t>0.28–0.67</w:t>
            </w:r>
          </w:p>
        </w:tc>
        <w:tc>
          <w:tcPr>
            <w:tcW w:type="dxa" w:w="2160"/>
          </w:tcPr>
          <w:p>
            <w:r>
              <w:rPr>
                <w:rFonts w:ascii="Times New Roman" w:hAnsi="Times New Roman"/>
                <w:sz w:val="20"/>
              </w:rPr>
              <w:t>P &lt; 0.001</w:t>
            </w:r>
          </w:p>
        </w:tc>
      </w:tr>
      <w:tr>
        <w:tc>
          <w:tcPr>
            <w:tcW w:type="dxa" w:w="2160"/>
          </w:tcPr>
          <w:p>
            <w:r>
              <w:rPr>
                <w:rFonts w:ascii="Times New Roman" w:hAnsi="Times New Roman"/>
                <w:sz w:val="20"/>
              </w:rPr>
              <w:t>prior cesarean delivery</w:t>
            </w:r>
          </w:p>
        </w:tc>
        <w:tc>
          <w:tcPr>
            <w:tcW w:type="dxa" w:w="2160"/>
          </w:tcPr>
          <w:p>
            <w:r>
              <w:rPr>
                <w:rFonts w:ascii="Times New Roman" w:hAnsi="Times New Roman"/>
                <w:sz w:val="20"/>
              </w:rPr>
              <w:t>0.50</w:t>
            </w:r>
          </w:p>
        </w:tc>
        <w:tc>
          <w:tcPr>
            <w:tcW w:type="dxa" w:w="2160"/>
          </w:tcPr>
          <w:p>
            <w:r>
              <w:rPr>
                <w:rFonts w:ascii="Times New Roman" w:hAnsi="Times New Roman"/>
                <w:sz w:val="20"/>
              </w:rPr>
              <w:t>0.33–0.75</w:t>
            </w:r>
          </w:p>
        </w:tc>
        <w:tc>
          <w:tcPr>
            <w:tcW w:type="dxa" w:w="2160"/>
          </w:tcPr>
          <w:p>
            <w:r>
              <w:rPr>
                <w:rFonts w:ascii="Times New Roman" w:hAnsi="Times New Roman"/>
                <w:sz w:val="20"/>
              </w:rPr>
              <w:t>P &lt; 0.001</w:t>
            </w:r>
          </w:p>
        </w:tc>
      </w:tr>
      <w:tr>
        <w:tc>
          <w:tcPr>
            <w:tcW w:type="dxa" w:w="2160"/>
          </w:tcPr>
          <w:p>
            <w:r>
              <w:rPr>
                <w:rFonts w:ascii="Times New Roman" w:hAnsi="Times New Roman"/>
                <w:sz w:val="20"/>
              </w:rPr>
              <w:t>epidural anesthesia</w:t>
            </w:r>
          </w:p>
        </w:tc>
        <w:tc>
          <w:tcPr>
            <w:tcW w:type="dxa" w:w="2160"/>
          </w:tcPr>
          <w:p>
            <w:r>
              <w:rPr>
                <w:rFonts w:ascii="Times New Roman" w:hAnsi="Times New Roman"/>
                <w:sz w:val="20"/>
              </w:rPr>
              <w:t>1.71</w:t>
            </w:r>
          </w:p>
        </w:tc>
        <w:tc>
          <w:tcPr>
            <w:tcW w:type="dxa" w:w="2160"/>
          </w:tcPr>
          <w:p>
            <w:r>
              <w:rPr>
                <w:rFonts w:ascii="Times New Roman" w:hAnsi="Times New Roman"/>
                <w:sz w:val="20"/>
              </w:rPr>
              <w:t>1.20–2.44</w:t>
            </w:r>
          </w:p>
        </w:tc>
        <w:tc>
          <w:tcPr>
            <w:tcW w:type="dxa" w:w="2160"/>
          </w:tcPr>
          <w:p>
            <w:r>
              <w:rPr>
                <w:rFonts w:ascii="Times New Roman" w:hAnsi="Times New Roman"/>
                <w:sz w:val="20"/>
              </w:rPr>
              <w:t>P = 0.003</w:t>
            </w:r>
          </w:p>
        </w:tc>
      </w:tr>
      <w:tr>
        <w:tc>
          <w:tcPr>
            <w:tcW w:type="dxa" w:w="2160"/>
          </w:tcPr>
          <w:p>
            <w:r>
              <w:rPr>
                <w:rFonts w:ascii="Times New Roman" w:hAnsi="Times New Roman"/>
                <w:sz w:val="20"/>
              </w:rPr>
              <w:t>age</w:t>
            </w:r>
          </w:p>
        </w:tc>
        <w:tc>
          <w:tcPr>
            <w:tcW w:type="dxa" w:w="2160"/>
          </w:tcPr>
          <w:p>
            <w:r>
              <w:rPr>
                <w:rFonts w:ascii="Times New Roman" w:hAnsi="Times New Roman"/>
                <w:sz w:val="20"/>
              </w:rPr>
              <w:t>1.03</w:t>
            </w:r>
          </w:p>
        </w:tc>
        <w:tc>
          <w:tcPr>
            <w:tcW w:type="dxa" w:w="2160"/>
          </w:tcPr>
          <w:p>
            <w:r>
              <w:rPr>
                <w:rFonts w:ascii="Times New Roman" w:hAnsi="Times New Roman"/>
                <w:sz w:val="20"/>
              </w:rPr>
              <w:t>1.00–1.07</w:t>
            </w:r>
          </w:p>
        </w:tc>
        <w:tc>
          <w:tcPr>
            <w:tcW w:type="dxa" w:w="2160"/>
          </w:tcPr>
          <w:p>
            <w:r>
              <w:rPr>
                <w:rFonts w:ascii="Times New Roman" w:hAnsi="Times New Roman"/>
                <w:sz w:val="20"/>
              </w:rPr>
              <w:t>P = 0.052</w:t>
            </w:r>
          </w:p>
        </w:tc>
      </w:tr>
      <w:tr>
        <w:tc>
          <w:tcPr>
            <w:tcW w:type="dxa" w:w="2160"/>
          </w:tcPr>
          <w:p>
            <w:r>
              <w:rPr>
                <w:rFonts w:ascii="Times New Roman" w:hAnsi="Times New Roman"/>
                <w:sz w:val="20"/>
              </w:rPr>
              <w:t>gestational age</w:t>
            </w:r>
          </w:p>
        </w:tc>
        <w:tc>
          <w:tcPr>
            <w:tcW w:type="dxa" w:w="2160"/>
          </w:tcPr>
          <w:p>
            <w:r>
              <w:rPr>
                <w:rFonts w:ascii="Times New Roman" w:hAnsi="Times New Roman"/>
                <w:sz w:val="20"/>
              </w:rPr>
              <w:t>0.94</w:t>
            </w:r>
          </w:p>
        </w:tc>
        <w:tc>
          <w:tcPr>
            <w:tcW w:type="dxa" w:w="2160"/>
          </w:tcPr>
          <w:p>
            <w:r>
              <w:rPr>
                <w:rFonts w:ascii="Times New Roman" w:hAnsi="Times New Roman"/>
                <w:sz w:val="20"/>
              </w:rPr>
              <w:t>0.88–1.00</w:t>
            </w:r>
          </w:p>
        </w:tc>
        <w:tc>
          <w:tcPr>
            <w:tcW w:type="dxa" w:w="2160"/>
          </w:tcPr>
          <w:p>
            <w:r>
              <w:rPr>
                <w:rFonts w:ascii="Times New Roman" w:hAnsi="Times New Roman"/>
                <w:sz w:val="20"/>
              </w:rPr>
              <w:t>P = 0.058</w:t>
            </w:r>
          </w:p>
        </w:tc>
      </w:tr>
      <w:tr>
        <w:tc>
          <w:tcPr>
            <w:tcW w:type="dxa" w:w="2160"/>
          </w:tcPr>
          <w:p>
            <w:r>
              <w:rPr>
                <w:rFonts w:ascii="Times New Roman" w:hAnsi="Times New Roman"/>
                <w:sz w:val="20"/>
              </w:rPr>
              <w:t>hypertensive disorders of pregnancy</w:t>
            </w:r>
          </w:p>
        </w:tc>
        <w:tc>
          <w:tcPr>
            <w:tcW w:type="dxa" w:w="2160"/>
          </w:tcPr>
          <w:p>
            <w:r>
              <w:rPr>
                <w:rFonts w:ascii="Times New Roman" w:hAnsi="Times New Roman"/>
                <w:sz w:val="20"/>
              </w:rPr>
              <w:t>0.80</w:t>
            </w:r>
          </w:p>
        </w:tc>
        <w:tc>
          <w:tcPr>
            <w:tcW w:type="dxa" w:w="2160"/>
          </w:tcPr>
          <w:p>
            <w:r>
              <w:rPr>
                <w:rFonts w:ascii="Times New Roman" w:hAnsi="Times New Roman"/>
                <w:sz w:val="20"/>
              </w:rPr>
              <w:t>0.35–1.83</w:t>
            </w:r>
          </w:p>
        </w:tc>
        <w:tc>
          <w:tcPr>
            <w:tcW w:type="dxa" w:w="2160"/>
          </w:tcPr>
          <w:p>
            <w:r>
              <w:rPr>
                <w:rFonts w:ascii="Times New Roman" w:hAnsi="Times New Roman"/>
                <w:sz w:val="20"/>
              </w:rPr>
              <w:t>P = 0.603</w:t>
            </w:r>
          </w:p>
        </w:tc>
      </w:tr>
      <w:tr>
        <w:tc>
          <w:tcPr>
            <w:tcW w:type="dxa" w:w="2160"/>
          </w:tcPr>
          <w:p>
            <w:r>
              <w:rPr>
                <w:rFonts w:ascii="Times New Roman" w:hAnsi="Times New Roman"/>
                <w:sz w:val="20"/>
              </w:rPr>
              <w:t>BMI</w:t>
            </w:r>
          </w:p>
        </w:tc>
        <w:tc>
          <w:tcPr>
            <w:tcW w:type="dxa" w:w="2160"/>
          </w:tcPr>
          <w:p>
            <w:r>
              <w:rPr>
                <w:rFonts w:ascii="Times New Roman" w:hAnsi="Times New Roman"/>
                <w:sz w:val="20"/>
              </w:rPr>
              <w:t>1.00</w:t>
            </w:r>
          </w:p>
        </w:tc>
        <w:tc>
          <w:tcPr>
            <w:tcW w:type="dxa" w:w="2160"/>
          </w:tcPr>
          <w:p>
            <w:r>
              <w:rPr>
                <w:rFonts w:ascii="Times New Roman" w:hAnsi="Times New Roman"/>
                <w:sz w:val="20"/>
              </w:rPr>
              <w:t>0.99–1.01</w:t>
            </w:r>
          </w:p>
        </w:tc>
        <w:tc>
          <w:tcPr>
            <w:tcW w:type="dxa" w:w="2160"/>
          </w:tcPr>
          <w:p>
            <w:r>
              <w:rPr>
                <w:rFonts w:ascii="Times New Roman" w:hAnsi="Times New Roman"/>
                <w:sz w:val="20"/>
              </w:rPr>
              <w:t>P = 0.818</w:t>
            </w:r>
          </w:p>
        </w:tc>
      </w:tr>
    </w:tbl>
    <w:p/>
    <w:p>
      <w:r>
        <w:drawing>
          <wp:inline xmlns:a="http://schemas.openxmlformats.org/drawingml/2006/main" xmlns:pic="http://schemas.openxmlformats.org/drawingml/2006/picture">
            <wp:extent cx="5486400" cy="2247311"/>
            <wp:docPr id="5" name="Picture 5"/>
            <wp:cNvGraphicFramePr>
              <a:graphicFrameLocks noChangeAspect="1"/>
            </wp:cNvGraphicFramePr>
            <a:graphic>
              <a:graphicData uri="http://schemas.openxmlformats.org/drawingml/2006/picture">
                <pic:pic>
                  <pic:nvPicPr>
                    <pic:cNvPr id="0" name="fig6_roc_curves.png"/>
                    <pic:cNvPicPr/>
                  </pic:nvPicPr>
                  <pic:blipFill>
                    <a:blip r:embed="rId13"/>
                    <a:stretch>
                      <a:fillRect/>
                    </a:stretch>
                  </pic:blipFill>
                  <pic:spPr>
                    <a:xfrm>
                      <a:off x="0" y="0"/>
                      <a:ext cx="5486400" cy="2247311"/>
                    </a:xfrm>
                    <a:prstGeom prst="rect"/>
                  </pic:spPr>
                </pic:pic>
              </a:graphicData>
            </a:graphic>
          </wp:inline>
        </w:drawing>
      </w:r>
    </w:p>
    <w:p>
      <w:pPr>
        <w:jc w:val="left"/>
      </w:pPr>
      <w:r>
        <w:rPr>
          <w:rFonts w:ascii="Times New Roman" w:hAnsi="Times New Roman"/>
          <w:i/>
          <w:sz w:val="20"/>
        </w:rPr>
        <w:t>Figure 6. Receiver operating characteristic (ROC) curves for the multivariable logistic regression models. (A) Transfusion prediction. (B) Massive hemorrhage (≥1500 mL) prediction.</w:t>
      </w:r>
    </w:p>
    <w:p/>
    <w:p>
      <w:pPr>
        <w:pStyle w:val="Heading2"/>
      </w:pPr>
      <w:r>
        <w:rPr>
          <w:rFonts w:ascii="Times New Roman" w:hAnsi="Times New Roman"/>
          <w:color w:val="000000"/>
        </w:rPr>
        <w:t>Temporal Trends</w:t>
      </w:r>
    </w:p>
    <w:p>
      <w:r>
        <w:rPr>
          <w:rFonts w:ascii="Times New Roman" w:hAnsi="Times New Roman"/>
          <w:b w:val="0"/>
          <w:i w:val="0"/>
          <w:sz w:val="24"/>
        </w:rPr>
        <w:t>Significant temporal improvements were observed over the study period (Fig. 2). Median EBL decreased from 765 mL in 2014 to 560 mL in 2024 (Pearson r = −0.893; P &lt; 0.001). The transfusion rate declined from 6.1% in 2014 to 1.4% in 2024 (r = −0.733; P = 0.010), and the massive hemorrhage rate declined from 9.2% in 2014 to 2.8% in 2024 (r = −0.742; P = 0.009).</w:t>
      </w:r>
    </w:p>
    <w:p>
      <w:r>
        <w:rPr>
          <w:rFonts w:ascii="Times New Roman" w:hAnsi="Times New Roman"/>
          <w:b w:val="0"/>
          <w:i w:val="0"/>
          <w:sz w:val="24"/>
        </w:rPr>
        <w:t>When comparing the early (2014–2018; n = 1,468) and late (2019–2024; n = 1,487) periods, median EBL was significantly lower in the late period (620 vs. 700 mL; P &lt; 0.001). The transfusion rate (2.6% vs. 6.1%; P &lt; 0.001) and massive hemorrhage rate (5.1% vs. 7.4%; P = 0.012) were also significantly lower in the late period.</w:t>
      </w:r>
    </w:p>
    <w:p/>
    <w:p>
      <w:r>
        <w:drawing>
          <wp:inline xmlns:a="http://schemas.openxmlformats.org/drawingml/2006/main" xmlns:pic="http://schemas.openxmlformats.org/drawingml/2006/picture">
            <wp:extent cx="5486400" cy="4559664"/>
            <wp:docPr id="6" name="Picture 6"/>
            <wp:cNvGraphicFramePr>
              <a:graphicFrameLocks noChangeAspect="1"/>
            </wp:cNvGraphicFramePr>
            <a:graphic>
              <a:graphicData uri="http://schemas.openxmlformats.org/drawingml/2006/picture">
                <pic:pic>
                  <pic:nvPicPr>
                    <pic:cNvPr id="0" name="fig2_temporal_trends.png"/>
                    <pic:cNvPicPr/>
                  </pic:nvPicPr>
                  <pic:blipFill>
                    <a:blip r:embed="rId14"/>
                    <a:stretch>
                      <a:fillRect/>
                    </a:stretch>
                  </pic:blipFill>
                  <pic:spPr>
                    <a:xfrm>
                      <a:off x="0" y="0"/>
                      <a:ext cx="5486400" cy="4559664"/>
                    </a:xfrm>
                    <a:prstGeom prst="rect"/>
                  </pic:spPr>
                </pic:pic>
              </a:graphicData>
            </a:graphic>
          </wp:inline>
        </w:drawing>
      </w:r>
    </w:p>
    <w:p>
      <w:pPr>
        <w:jc w:val="left"/>
      </w:pPr>
      <w:r>
        <w:rPr>
          <w:rFonts w:ascii="Times New Roman" w:hAnsi="Times New Roman"/>
          <w:i/>
          <w:sz w:val="20"/>
        </w:rPr>
        <w:t>Figure 2. Temporal trends in cesarean section outcomes (2014–2024). (A) Median estimated blood loss with IQR shading. (B) Transfusion rate. (C) Massive hemorrhage rate. (D) Annual case volume.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