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Times New Roman" w:hAnsi="Times New Roman"/>
        </w:rPr>
        <w:t>[Date]</w:t>
      </w:r>
    </w:p>
    <w:p/>
    <w:p>
      <w:r>
        <w:rPr>
          <w:rFonts w:ascii="Times New Roman" w:hAnsi="Times New Roman"/>
        </w:rPr>
        <w:t>Editor-in-Chief</w:t>
        <w:br/>
        <w:t>JMA Journal</w:t>
        <w:br/>
        <w:t>Japan Medical Association</w:t>
      </w:r>
    </w:p>
    <w:p/>
    <w:p>
      <w:r>
        <w:rPr>
          <w:rFonts w:ascii="Times New Roman" w:hAnsi="Times New Roman"/>
        </w:rPr>
        <w:t>Dear Editor,</w:t>
      </w:r>
    </w:p>
    <w:p/>
    <w:p>
      <w:r>
        <w:rPr>
          <w:rFonts w:ascii="Times New Roman" w:hAnsi="Times New Roman"/>
        </w:rPr>
        <w:t>We submit the enclosed manuscript entitled “Medical safety incidents Granger-cause physician workforce decline across 12 specialties in Japan: a vector autoregression analysis” for consideration as an Original Research Article in JMA Journal.</w:t>
      </w:r>
    </w:p>
    <w:p>
      <w:r>
        <w:rPr>
          <w:rFonts w:ascii="Times New Roman" w:hAnsi="Times New Roman"/>
        </w:rPr>
        <w:t>This study applies vector autoregression and Granger causality testing to two national incident series—mandatory safety reports (2015–2025) and malpractice litigation statistics (2004–2023)—paired with physician and facility counts across 12 specialties. We demonstrate that incident burden carries significant predictive information for subsequent workforce change in 9 of 12 specialties, with bidirectional causality in obstetrics, paediatrics, and general surgery pointing to a self-reinforcing shortage–incident cycle.</w:t>
      </w:r>
    </w:p>
    <w:p>
      <w:r>
        <w:rPr>
          <w:rFonts w:ascii="Times New Roman" w:hAnsi="Times New Roman"/>
        </w:rPr>
        <w:t>These findings are timely given the April 2024 implementation of physician work-style reform and ongoing policy debates regarding specialty maldistribution. To our knowledge, this is the first multi-specialty application of Granger causality testing to the relationship between safety incidents and physician workforce dynamics.</w:t>
      </w:r>
    </w:p>
    <w:p>
      <w:r>
        <w:rPr>
          <w:rFonts w:ascii="Times New Roman" w:hAnsi="Times New Roman"/>
        </w:rPr>
        <w:t>The manuscript has not been published previously and is not under consideration elsewhere. All data used are publicly available aggregate statistics from national registries. The author declares no conflict of interest.</w:t>
      </w:r>
    </w:p>
    <w:p>
      <w:r>
        <w:rPr>
          <w:rFonts w:ascii="Times New Roman" w:hAnsi="Times New Roman"/>
        </w:rPr>
        <w:t>We believe this work will be of interest to the readership of JMA Journal given its direct relevance to Japanese health policy and physician workforce planning.</w:t>
      </w:r>
    </w:p>
    <w:p/>
    <w:p>
      <w:r>
        <w:rPr>
          <w:rFonts w:ascii="Times New Roman" w:hAnsi="Times New Roman"/>
        </w:rPr>
        <w:t>Sincerely,</w:t>
      </w:r>
    </w:p>
    <w:p/>
    <w:p/>
    <w:p>
      <w:r>
        <w:rPr>
          <w:rFonts w:ascii="Times New Roman" w:hAnsi="Times New Roman"/>
          <w:b/>
        </w:rPr>
        <w:t>Tatsuki Onishi, MD</w:t>
      </w:r>
    </w:p>
    <w:p>
      <w:r>
        <w:rPr>
          <w:rFonts w:ascii="Times New Roman" w:hAnsi="Times New Roman"/>
        </w:rPr>
        <w:t>Corresponding Author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