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480" w:lineRule="auto"/>
      </w:pPr>
      <w:r>
        <w:t>[PLACEHOLDER date]</w:t>
      </w:r>
    </w:p>
    <w:p>
      <w:pPr>
        <w:spacing w:after="120" w:line="480" w:lineRule="auto"/>
      </w:pPr>
      <w:r>
        <w:t>The Editor-in-Chief, [Target journal]</w:t>
      </w:r>
    </w:p>
    <w:p>
      <w:pPr>
        <w:spacing w:after="120" w:line="480" w:lineRule="auto"/>
      </w:pPr>
      <w:r>
        <w:t>Dear Editors,</w:t>
      </w:r>
    </w:p>
    <w:p>
      <w:pPr>
        <w:spacing w:after="120" w:line="480" w:lineRule="auto"/>
      </w:pPr>
      <w:r>
        <w:t>We submit for your consideration our manuscript, “Ambient heat as an under-recognised risk factor for US traffic-crash mortality: a distributed-lag analysis with road-safety implications”, as a Research Article.</w:t>
      </w:r>
    </w:p>
    <w:p>
      <w:pPr>
        <w:spacing w:after="120" w:line="480" w:lineRule="auto"/>
      </w:pPr>
      <w:r>
        <w:t>Using only public data, this ecological, population-level study shows that days hotter than the local seasonal norm carry an acute excess of US traffic-crash deaths that survives adjustment for national driving activity, is concentrated in heat-exposed open-air road users, and is comparable in magnitude to all officially recorded direct-heat deaths — a burden that would be invisible to routine cause-of-death surveillance and that our scenario projections suggest would grow under warming. We believe this speaks directly to the journal's focus on the environmental determinants of health and on under-recognised climate-sensitive mortality burdens.</w:t>
      </w:r>
    </w:p>
    <w:p>
      <w:pPr>
        <w:spacing w:after="120" w:line="480" w:lineRule="auto"/>
      </w:pPr>
      <w:r>
        <w:t>The manuscript is original, is not under consideration elsewhere, and all authors approve submission. All data are public and the complete analysis pipeline is openly available and fully reproducible (make all), with no hard-coded results. We declare [PLACEHOLDER competing interests]. We suggest the manuscript has not been posted to a preprint server [PLACEHOLDER confirm].</w:t>
      </w:r>
    </w:p>
    <w:p>
      <w:pPr>
        <w:spacing w:after="120" w:line="480" w:lineRule="auto"/>
      </w:pPr>
      <w:r>
        <w:t>We look forward to your assessment.</w:t>
      </w:r>
    </w:p>
    <w:p>
      <w:pPr>
        <w:spacing w:after="120" w:line="480" w:lineRule="auto"/>
      </w:pPr>
      <w:r>
        <w:t>Yours sincerely,</w:t>
      </w:r>
    </w:p>
    <w:p>
      <w:pPr>
        <w:spacing w:after="120" w:line="480" w:lineRule="auto"/>
      </w:pPr>
      <w:r>
        <w:t>[PLACEHOLDER corresponding author,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