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structural determinant or claims-audit artefact?</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[Authors and affiliations to be supplied]</w:t>
      </w:r>
    </w:p>
    <w:p>
      <w:pPr>
        <w:jc w:val="center"/>
      </w:pPr>
      <w:r>
        <w:rPr>
          <w:rFonts w:ascii="Times New Roman" w:hAnsi="Times New Roman"/>
          <w:i/>
          <w:sz w:val="24"/>
        </w:rPr>
        <w:t>[Corresponding author: name, postal address, telephone, email]</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3000 words</w:t>
      </w:r>
    </w:p>
    <w:p>
      <w:r>
        <w:rPr>
          <w:rFonts w:ascii="Times New Roman" w:hAnsi="Times New Roman"/>
          <w:i/>
          <w:sz w:val="24"/>
        </w:rPr>
        <w:t>Tables: 3   Figures: 2   References: 30</w:t>
      </w:r>
    </w:p>
    <w:p>
      <w:r>
        <w:rPr>
          <w:rFonts w:ascii="Times New Roman" w:hAnsi="Times New Roman"/>
          <w:i/>
          <w:sz w:val="24"/>
        </w:rPr>
        <w:t>Reporting guideline: STROBE checklist for cross-sectional studies (uploaded as supplementary material)</w:t>
      </w:r>
    </w:p>
    <w:p>
      <w:r>
        <w:br w:type="page"/>
      </w:r>
    </w:p>
    <w:p>
      <w:pPr>
        <w:jc w:val="center"/>
      </w:pPr>
      <w:r>
        <w:rPr>
          <w:rFonts w:ascii="Times New Roman" w:hAnsi="Times New Roman"/>
          <w:b/>
          <w:sz w:val="24"/>
        </w:rPr>
        <w:t>Regional variation in anaesthesia practice in Japan: structural determinant or claims-audit artefact?</w:t>
      </w:r>
    </w:p>
    <w:p>
      <w:pPr>
        <w:spacing w:after="0"/>
      </w:pPr>
    </w:p>
    <w:p>
      <w:pPr>
        <w:spacing w:before="0" w:after="120"/>
      </w:pPr>
      <w:r>
        <w:rPr>
          <w:rFonts w:ascii="Times New Roman" w:hAnsi="Times New Roman"/>
          <w:b/>
          <w:sz w:val="26"/>
        </w:rPr>
        <w:t>ABSTRACT</w:t>
      </w:r>
    </w:p>
    <w:p>
      <w:pPr>
        <w:spacing w:after="120"/>
      </w:pPr>
      <w:r>
        <w:rPr>
          <w:rFonts w:ascii="Times New Roman" w:hAnsi="Times New Roman"/>
          <w:b/>
          <w:sz w:val="24"/>
        </w:rPr>
        <w:t xml:space="preserve">Background  </w:t>
      </w:r>
      <w:r>
        <w:rPr>
          <w:rFonts w:ascii="Times New Roman" w:hAnsi="Times New Roman"/>
          <w:sz w:val="24"/>
        </w:rPr>
        <w:t>Regional variation in anaesthesia practice has been documented in many high-income countries, but the relative contributions of clinical preference, institutional capacity and administrative coding practices remain unclear. Japan provides a distinctive natural experiment: a single national fee schedule combined with prefecture-specific insurance auditing. We aimed to quantify regional variation in anaesthesia practice across Japan's 335 secondary medical areas and to test whether observed variation reflects structural determinants or differential auditing.</w:t>
      </w:r>
    </w:p>
    <w:p>
      <w:pPr>
        <w:spacing w:after="120"/>
      </w:pPr>
      <w:r>
        <w:rPr>
          <w:rFonts w:ascii="Times New Roman" w:hAnsi="Times New Roman"/>
          <w:b/>
          <w:sz w:val="24"/>
        </w:rPr>
        <w:t xml:space="preserve">Methods  </w:t>
      </w:r>
      <w:r>
        <w:rPr>
          <w:rFonts w:ascii="Times New Roman" w:hAnsi="Times New Roman"/>
          <w:sz w:val="24"/>
        </w:rPr>
        <w:t>Cross-sectional ecological study using publicly available standardised claim ratios (age- and sex-adjusted observed-to-expected ratios on a residence basis, national average = 100) for fiscal year 2022. Six anaesthesia procedure codes were analysed across 335 secondary medical areas nested within 47 prefectures. We fitted multilevel linear mixed models with prefectures as random intercepts to estimate intraclass correlation coefficients and the contribution of university hospital presence. Three pre-specified sensitivity analyses tested the audit hypothesis: within-prefecture variance decomposition; cross-code correlation; and quantitative estimation of the maximum impact of audit-rate differences. Empirical Bayes shrinkage addressed potential instability in low-volume areas.</w:t>
      </w:r>
    </w:p>
    <w:p>
      <w:pPr>
        <w:spacing w:after="120"/>
      </w:pPr>
      <w:r>
        <w:rPr>
          <w:rFonts w:ascii="Times New Roman" w:hAnsi="Times New Roman"/>
          <w:b/>
          <w:sz w:val="24"/>
        </w:rPr>
        <w:t xml:space="preserve">Results  </w:t>
      </w:r>
      <w:r>
        <w:rPr>
          <w:rFonts w:ascii="Times New Roman" w:hAnsi="Times New Roman"/>
          <w:sz w:val="24"/>
        </w:rPr>
        <w:t>Substantial variation was observed across all anaesthesia codes. The coefficient of variation was 53.6% for general anaesthesia, 87.0% for epidural anaesthesia, 64.9% for continuous epidural infusion (the direct indicator of combined general-epidural technique) and 56.8% for spinal anaesthesia. Multilevel models showed that only 5.8% of general anaesthesia variance was attributable to the prefecture level (intraclass correlation coefficient 0.058); 94.2% occurred within prefectures, where audit policy is uniform. University hospital presence explained 35.8% of total general anaesthesia variance and 40.5% of within-prefecture variance (Cohen's d 1.88). University hospital areas had higher general anaesthesia ratios in 47 of 47 prefectures. The three audit sensitivity analyses converged: the maximum audit-rate difference (0.21 percentage points) could shift ratios by less than 0.3% of the observed interquartile range. Empirical Bayes shrinkage attenuated effect sizes by only 8.6 to 9.1%.</w:t>
      </w:r>
    </w:p>
    <w:p>
      <w:pPr>
        <w:spacing w:after="120"/>
      </w:pPr>
      <w:r>
        <w:rPr>
          <w:rFonts w:ascii="Times New Roman" w:hAnsi="Times New Roman"/>
          <w:b/>
          <w:sz w:val="24"/>
        </w:rPr>
        <w:t xml:space="preserve">Conclusion  </w:t>
      </w:r>
      <w:r>
        <w:rPr>
          <w:rFonts w:ascii="Times New Roman" w:hAnsi="Times New Roman"/>
          <w:sz w:val="24"/>
        </w:rPr>
        <w:t>Regional variation in anaesthesia practice across Japan is substantial and predominantly structural rather than an artefact of insurance auditing. University hospital proximity is the dominant determinant. The marked variation in combined general-epidural anaesthesia, which has been linked to oncological outcomes, indicates a modifiable inequity in access to a potentially beneficial technique under a system designed for universal coverage.</w:t>
      </w:r>
    </w:p>
    <w:p>
      <w:pPr>
        <w:spacing w:after="0"/>
      </w:pPr>
    </w:p>
    <w:p>
      <w:r>
        <w:rPr>
          <w:rFonts w:ascii="Times New Roman" w:hAnsi="Times New Roman"/>
          <w:b/>
          <w:sz w:val="24"/>
        </w:rPr>
        <w:t xml:space="preserve">Keywords: </w:t>
      </w:r>
      <w:r>
        <w:rPr>
          <w:rFonts w:ascii="Times New Roman" w:hAnsi="Times New Roman"/>
          <w:sz w:val="24"/>
        </w:rPr>
        <w:t>anaesthesia; small-area variation; multilevel analysis; health services research; quality of health care; Japan</w:t>
      </w:r>
    </w:p>
    <w:p>
      <w:r>
        <w:br w:type="page"/>
      </w:r>
    </w:p>
    <w:p>
      <w:pPr>
        <w:spacing w:before="0" w:after="120"/>
      </w:pPr>
      <w:r>
        <w:rPr>
          <w:rFonts w:ascii="Times New Roman" w:hAnsi="Times New Roman"/>
          <w:b/>
          <w:sz w:val="26"/>
        </w:rPr>
        <w:t>INTRODUCTION</w:t>
      </w:r>
    </w:p>
    <w:p>
      <w:r>
        <w:rPr>
          <w:rFonts w:ascii="Times New Roman" w:hAnsi="Times New Roman"/>
          <w:sz w:val="24"/>
        </w:rPr>
        <w:t>Japan's universal health insurance system, established in 1961, covers the entire population under a nationally uniform fee schedule that specifies reimbursement for every medical procedure.</w:t>
      </w:r>
      <w:r>
        <w:rPr>
          <w:rFonts w:ascii="Times New Roman" w:hAnsi="Times New Roman"/>
          <w:sz w:val="24"/>
          <w:vertAlign w:val="superscript"/>
        </w:rPr>
        <w:t>1</w:t>
      </w:r>
      <w:r>
        <w:rPr>
          <w:rFonts w:ascii="Times New Roman" w:hAnsi="Times New Roman"/>
          <w:sz w:val="24"/>
        </w:rPr>
        <w:t xml:space="preserve"> The system consistently ranks among the highest performing globally for effective service coverage</w:t>
      </w:r>
      <w:r>
        <w:rPr>
          <w:rFonts w:ascii="Times New Roman" w:hAnsi="Times New Roman"/>
          <w:sz w:val="24"/>
          <w:vertAlign w:val="superscript"/>
        </w:rPr>
        <w:t>2</w:t>
      </w:r>
      <w:r>
        <w:rPr>
          <w:rFonts w:ascii="Times New Roman" w:hAnsi="Times New Roman"/>
          <w:sz w:val="24"/>
        </w:rPr>
        <w:t xml:space="preserve"> and is delivered through a hierarchical structure of 47 prefectural (tertiary) and 335 secondary medical areas, each designed to be self-sufficient for inpatient care.</w:t>
      </w:r>
      <w:r>
        <w:rPr>
          <w:rFonts w:ascii="Times New Roman" w:hAnsi="Times New Roman"/>
          <w:sz w:val="24"/>
          <w:vertAlign w:val="superscript"/>
        </w:rPr>
        <w:t>3</w:t>
      </w:r>
      <w:r>
        <w:rPr>
          <w:rFonts w:ascii="Times New Roman" w:hAnsi="Times New Roman"/>
          <w:sz w:val="24"/>
        </w:rPr>
        <w:t xml:space="preserve"> Cross-boundary patient movement is limited: only 6.1% of inpatients receive care outside their home prefecture.</w:t>
      </w:r>
      <w:r>
        <w:rPr>
          <w:rFonts w:ascii="Times New Roman" w:hAnsi="Times New Roman"/>
          <w:sz w:val="24"/>
          <w:vertAlign w:val="superscript"/>
        </w:rPr>
        <w:t>4</w:t>
      </w:r>
      <w:r>
        <w:rPr>
          <w:rFonts w:ascii="Times New Roman" w:hAnsi="Times New Roman"/>
          <w:sz w:val="24"/>
        </w:rPr>
        <w:t xml:space="preserve"> The system was intended to ensure equitable access regardless of geography.</w:t>
      </w:r>
    </w:p>
    <w:p>
      <w:r>
        <w:rPr>
          <w:rFonts w:ascii="Times New Roman" w:hAnsi="Times New Roman"/>
          <w:sz w:val="24"/>
        </w:rPr>
        <w:t>Yet substantial regional variation in surgical procedures, prescribing and diagnostic testing has been documented through the National Database of Health Insurance Claims.</w:t>
      </w:r>
      <w:r>
        <w:rPr>
          <w:rFonts w:ascii="Times New Roman" w:hAnsi="Times New Roman"/>
          <w:sz w:val="24"/>
          <w:vertAlign w:val="superscript"/>
        </w:rPr>
        <w:t>5</w:t>
      </w:r>
      <w:r>
        <w:rPr>
          <w:rFonts w:ascii="Times New Roman" w:hAnsi="Times New Roman"/>
          <w:sz w:val="24"/>
        </w:rPr>
        <w:t xml:space="preserve"> A distinctive feature of the Japanese system is mandatory prefectural insurance auditing (shinsa): all claims are reviewed before reimbursement and audit rates vary across prefectures from 0.07% to 0.28%.</w:t>
      </w:r>
      <w:r>
        <w:rPr>
          <w:rFonts w:ascii="Times New Roman" w:hAnsi="Times New Roman"/>
          <w:sz w:val="24"/>
          <w:vertAlign w:val="superscript"/>
        </w:rPr>
        <w:t>6</w:t>
      </w:r>
      <w:r>
        <w:rPr>
          <w:rFonts w:ascii="Times New Roman" w:hAnsi="Times New Roman"/>
          <w:sz w:val="24"/>
        </w:rPr>
        <w:t xml:space="preserve"> This raises a fundamental question for the quality and safety community: does the variation observed in claims data reflect genuine differences in clinical practice, or is it an artefact of differential auditing? Distinguishing between these two explanations has different implications for quality improvement, payment policy and patient equity.</w:t>
      </w:r>
    </w:p>
    <w:p>
      <w:r>
        <w:rPr>
          <w:rFonts w:ascii="Times New Roman" w:hAnsi="Times New Roman"/>
          <w:sz w:val="24"/>
        </w:rPr>
        <w:t>Anaesthesia practice is well suited to this question. The choice between general anaesthesia alone and combined general-regional techniques is clinically consequential: a body of evidence suggests that regional anaesthesia, particularly epidural analgesia combined with general anaesthesia, may improve recurrence-free and overall survival in some cancer surgeries,</w:t>
      </w:r>
      <w:r>
        <w:rPr>
          <w:rFonts w:ascii="Times New Roman" w:hAnsi="Times New Roman"/>
          <w:sz w:val="24"/>
          <w:vertAlign w:val="superscript"/>
        </w:rPr>
        <w:t>7,8</w:t>
      </w:r>
      <w:r>
        <w:rPr>
          <w:rFonts w:ascii="Times New Roman" w:hAnsi="Times New Roman"/>
          <w:sz w:val="24"/>
        </w:rPr>
        <w:t xml:space="preserve"> although results from randomised trials are mixed.</w:t>
      </w:r>
      <w:r>
        <w:rPr>
          <w:rFonts w:ascii="Times New Roman" w:hAnsi="Times New Roman"/>
          <w:sz w:val="24"/>
          <w:vertAlign w:val="superscript"/>
        </w:rPr>
        <w:t>9</w:t>
      </w:r>
      <w:r>
        <w:rPr>
          <w:rFonts w:ascii="Times New Roman" w:hAnsi="Times New Roman"/>
          <w:sz w:val="24"/>
        </w:rPr>
        <w:t xml:space="preserve"> The 2026 revision of the Japanese fee schedule renamed the general anaesthesia code to clarify longstanding ambiguity in airway definitions, an ambiguity that could plausibly have driven differential audit decisions.</w:t>
      </w:r>
      <w:r>
        <w:rPr>
          <w:rFonts w:ascii="Times New Roman" w:hAnsi="Times New Roman"/>
          <w:sz w:val="24"/>
          <w:vertAlign w:val="superscript"/>
        </w:rPr>
        <w:t>10</w:t>
      </w:r>
      <w:r>
        <w:rPr>
          <w:rFonts w:ascii="Times New Roman" w:hAnsi="Times New Roman"/>
          <w:sz w:val="24"/>
        </w:rPr>
        <w:t xml:space="preserve"> Understanding whether observed regional variation is structural or administrative is therefore both timely and central to evaluating the equity of care under universal coverage.</w:t>
      </w:r>
    </w:p>
    <w:p>
      <w:r>
        <w:rPr>
          <w:rFonts w:ascii="Times New Roman" w:hAnsi="Times New Roman"/>
          <w:sz w:val="24"/>
        </w:rPr>
        <w:t>We used publicly available standardised claim ratios at the secondary medical area level to address the following research questions: (i) How large is the regional variation in anaesthesia practice across 335 areas? (ii) Is this variation explained by differential prefectural auditing? (iii) What proportion of variance lies between prefectures and between areas within prefectures? (iv) Which structural factors, including university hospital proximity, are associated with the observed variation?</w:t>
      </w:r>
    </w:p>
    <w:p>
      <w:pPr>
        <w:spacing w:before="240" w:after="120"/>
      </w:pPr>
      <w:r>
        <w:rPr>
          <w:rFonts w:ascii="Times New Roman" w:hAnsi="Times New Roman"/>
          <w:b/>
          <w:sz w:val="26"/>
        </w:rPr>
        <w:t>METHODS</w:t>
      </w:r>
    </w:p>
    <w:p>
      <w:pPr>
        <w:spacing w:before="160" w:after="80"/>
      </w:pPr>
      <w:r>
        <w:rPr>
          <w:rFonts w:ascii="Times New Roman" w:hAnsi="Times New Roman"/>
          <w:b/>
          <w:sz w:val="24"/>
        </w:rPr>
        <w:t>Study design and ethical considerations</w:t>
      </w:r>
    </w:p>
    <w:p>
      <w:r>
        <w:rPr>
          <w:rFonts w:ascii="Times New Roman" w:hAnsi="Times New Roman"/>
          <w:sz w:val="24"/>
        </w:rPr>
        <w:t>This was a cross-sectional ecological study using publicly available aggregate data only. No individual-level data were accessed.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vertAlign w:val="superscript"/>
        </w:rPr>
        <w:t>30</w:t>
      </w:r>
      <w:r>
        <w:rPr>
          <w:rFonts w:ascii="Times New Roman" w:hAnsi="Times New Roman"/>
          <w:sz w:val="24"/>
        </w:rPr>
        <w:t xml:space="preserve"> which is provided as supplementary material.</w:t>
      </w:r>
    </w:p>
    <w:p>
      <w:pPr>
        <w:spacing w:before="160" w:after="80"/>
      </w:pPr>
      <w:r>
        <w:rPr>
          <w:rFonts w:ascii="Times New Roman" w:hAnsi="Times New Roman"/>
          <w:b/>
          <w:sz w:val="24"/>
        </w:rPr>
        <w:t>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vertAlign w:val="superscript"/>
        </w:rPr>
        <w:t>3</w:t>
      </w:r>
      <w:r>
        <w:rPr>
          <w:rFonts w:ascii="Times New Roman" w:hAnsi="Times New Roman"/>
          <w:sz w:val="24"/>
        </w:rPr>
        <w:t xml:space="preserve">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vertAlign w:val="superscript"/>
        </w:rPr>
        <w:t>11</w:t>
      </w:r>
      <w:r>
        <w:rPr>
          <w:rFonts w:ascii="Times New Roman" w:hAnsi="Times New Roman"/>
          <w:sz w:val="24"/>
        </w:rPr>
        <w:t xml:space="preserve"> and makes within-prefecture comparisons unconfounded by spillover under a common audit policy.</w:t>
      </w:r>
    </w:p>
    <w:p>
      <w:pPr>
        <w:spacing w:before="160" w:after="80"/>
      </w:pPr>
      <w:r>
        <w:rPr>
          <w:rFonts w:ascii="Times New Roman" w:hAnsi="Times New Roman"/>
          <w:b/>
          <w:sz w:val="24"/>
        </w:rPr>
        <w:t>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vertAlign w:val="superscript"/>
        </w:rPr>
        <w:t>12</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100 × (observed claims / expected claims).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Data were available at both prefectural and secondary medical area levels. Second, we obtained physician statistics from the 2022 Survey of Physicians, Dentists and Pharmacists.</w:t>
      </w:r>
      <w:r>
        <w:rPr>
          <w:rFonts w:ascii="Times New Roman" w:hAnsi="Times New Roman"/>
          <w:sz w:val="24"/>
          <w:vertAlign w:val="superscript"/>
        </w:rPr>
        <w:t>13</w:t>
      </w:r>
      <w:r>
        <w:rPr>
          <w:rFonts w:ascii="Times New Roman" w:hAnsi="Times New Roman"/>
          <w:sz w:val="24"/>
        </w:rPr>
        <w:t xml:space="preserve"> Third, geographic boundary data were obtained from the National Land Numerical Information dataset.</w:t>
      </w:r>
      <w:r>
        <w:rPr>
          <w:rFonts w:ascii="Times New Roman" w:hAnsi="Times New Roman"/>
          <w:sz w:val="24"/>
          <w:vertAlign w:val="superscript"/>
        </w:rPr>
        <w:t>14</w:t>
      </w:r>
    </w:p>
    <w:p>
      <w:pPr>
        <w:spacing w:before="160" w:after="80"/>
      </w:pPr>
      <w:r>
        <w:rPr>
          <w:rFonts w:ascii="Times New Roman" w:hAnsi="Times New Roman"/>
          <w:b/>
          <w:sz w:val="24"/>
        </w:rPr>
        <w:t>Anaesthesia procedure codes and university hospital mapping</w:t>
      </w:r>
    </w:p>
    <w:p>
      <w:r>
        <w:rPr>
          <w:rFonts w:ascii="Times New Roman" w:hAnsi="Times New Roman"/>
          <w:sz w:val="24"/>
        </w:rPr>
        <w:t>Six procedure codes from the Japanese fee schedule were analysed (Table 1): L008 (closed-circuit general anaesthesia); L002 (epidural anaesthesia); L003 (continuous epidural infusion, the direct indicator of combined general-epidural technique); L004 (spinal anaesthesia); L009 (anaesthesia management fee I, a proxy for specialist staffing); and L100 (inpatient nerve block). We mapped 81 university hospitals (44 national, 8 public and 29 private) to their respective secondary medical areas based on municipal address. The 81 university hospitals are distributed across 64 of the 335 secondary medical areas (19.1%) and across all 47 prefectures, which enables within-prefecture comparisons between university and non-university areas under a common audit policy.</w:t>
      </w:r>
    </w:p>
    <w:p>
      <w:pPr>
        <w:spacing w:before="160" w:after="80"/>
      </w:pPr>
      <w:r>
        <w:rPr>
          <w:rFonts w:ascii="Times New Roman" w:hAnsi="Times New Roman"/>
          <w:b/>
          <w:sz w:val="24"/>
        </w:rPr>
        <w:t>Statistical analysis</w:t>
      </w:r>
    </w:p>
    <w:p>
      <w:r>
        <w:rPr>
          <w:rFonts w:ascii="Times New Roman" w:hAnsi="Times New Roman"/>
          <w:sz w:val="24"/>
        </w:rPr>
        <w:t>Three complementary approaches were used. First, we computed descriptive statistics including coefficients of variation. Between-group comparisons used Welch's t-test, Cohen's d for effect size</w:t>
      </w:r>
      <w:r>
        <w:rPr>
          <w:rFonts w:ascii="Times New Roman" w:hAnsi="Times New Roman"/>
          <w:sz w:val="24"/>
          <w:vertAlign w:val="superscript"/>
        </w:rPr>
        <w:t>15</w:t>
      </w:r>
      <w:r>
        <w:rPr>
          <w:rFonts w:ascii="Times New Roman" w:hAnsi="Times New Roman"/>
          <w:sz w:val="24"/>
        </w:rPr>
        <w:t xml:space="preserve"> and the Mann-Whitney U test for non-parametric confirmation. Second, we fitted multilevel linear mixed models with secondary medical areas (level 1, n = 335) nested within prefectures (level 2, n = 47).</w:t>
      </w:r>
      <w:r>
        <w:rPr>
          <w:rFonts w:ascii="Times New Roman" w:hAnsi="Times New Roman"/>
          <w:sz w:val="24"/>
          <w:vertAlign w:val="superscript"/>
        </w:rPr>
        <w:t>16</w:t>
      </w:r>
      <w:r>
        <w:rPr>
          <w:rFonts w:ascii="Times New Roman" w:hAnsi="Times New Roman"/>
          <w:sz w:val="24"/>
        </w:rPr>
        <w:t xml:space="preserve"> A null random-intercept model was fitted first to estimate the intraclass correlation coefficient. Subsequent models added fixed effects for university hospital presence, anaesthesiologist density (standardised) and total physician density (standardised). Models were estimated by restricted maximum likelihood using the Python statsmodels MixedLM implementation.</w:t>
      </w:r>
      <w:r>
        <w:rPr>
          <w:rFonts w:ascii="Times New Roman" w:hAnsi="Times New Roman"/>
          <w:sz w:val="24"/>
          <w:vertAlign w:val="superscript"/>
        </w:rPr>
        <w:t>17</w:t>
      </w:r>
      <w:r>
        <w:rPr>
          <w:rFonts w:ascii="Times New Roman" w:hAnsi="Times New Roman"/>
          <w:sz w:val="24"/>
        </w:rPr>
        <w:t xml:space="preserve"> Marginal R² was calculated as the proportional reduction in total variance from the null model. To address potential instability of ratios in low-volume areas, we applied empirical Bayes shrinkage estimation</w:t>
      </w:r>
      <w:r>
        <w:rPr>
          <w:rFonts w:ascii="Times New Roman" w:hAnsi="Times New Roman"/>
          <w:sz w:val="24"/>
          <w:vertAlign w:val="superscript"/>
        </w:rPr>
        <w:t>18</w:t>
      </w:r>
      <w:r>
        <w:rPr>
          <w:rFonts w:ascii="Times New Roman" w:hAnsi="Times New Roman"/>
          <w:sz w:val="24"/>
        </w:rPr>
        <w:t xml:space="preserve"> and compared all main findings using both raw and shrunken ratios.</w:t>
      </w:r>
    </w:p>
    <w:p>
      <w:r>
        <w:rPr>
          <w:rFonts w:ascii="Times New Roman" w:hAnsi="Times New Roman"/>
          <w:sz w:val="24"/>
        </w:rPr>
        <w:t>Third, three pre-specified sensitivity analyses tested the null hypothesis that insurance auditing explains observed variation. (a) Within-prefecture variance decomposition: under uniform prefectural auditing, within-prefecture variance should be small. We decomposed total variance using one-way analysis of variance and further partitioned the within-prefecture component into university hospital effect and residual using hierarchical sum-of-squares decomposition. (b) Cross-code correlation: audit-driven reclassification between general and spinal anaesthesia codes would produce negative correlations between them. (c) Quantitative audit-impact estimation: we calculated the maximum ratio shift attributable to the observed range of prefectural audit rates. Combined ratios (general plus spinal; general plus epidural) were also examined, since combining substitutable codes should largely absorb any audit-driven reclassification. Patients were not involved in the design, conduct or reporting of this study.</w:t>
      </w:r>
    </w:p>
    <w:p>
      <w:pPr>
        <w:spacing w:before="240" w:after="120"/>
      </w:pPr>
      <w:r>
        <w:rPr>
          <w:rFonts w:ascii="Times New Roman" w:hAnsi="Times New Roman"/>
          <w:b/>
          <w:sz w:val="26"/>
        </w:rPr>
        <w:t>RESULTS</w:t>
      </w:r>
    </w:p>
    <w:p>
      <w:pPr>
        <w:spacing w:before="160" w:after="80"/>
      </w:pPr>
      <w:r>
        <w:rPr>
          <w:rFonts w:ascii="Times New Roman" w:hAnsi="Times New Roman"/>
          <w:b/>
          <w:sz w:val="24"/>
        </w:rPr>
        <w:t>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all codes (Table 2). General anaesthesia ratios ranged from 2.3 to 435.7 (coefficient of variation 53.6%), a 189-fold difference. Epidural anaesthesia showed the greatest relative variation (coefficient of variation 87.0%); continuous epidural infusion 64.9% and spinal anaesthesia 56.8%. The geographic distribution of ratios is shown in Figure 1.</w:t>
      </w:r>
    </w:p>
    <w:p>
      <w:pPr>
        <w:spacing w:before="160" w:after="80"/>
      </w:pPr>
      <w:r>
        <w:rPr>
          <w:rFonts w:ascii="Times New Roman" w:hAnsi="Times New Roman"/>
          <w:b/>
          <w:sz w:val="24"/>
        </w:rPr>
        <w:t>Multilevel model and university hospital effect</w:t>
      </w:r>
    </w:p>
    <w:p>
      <w:r>
        <w:rPr>
          <w:rFonts w:ascii="Times New Roman" w:hAnsi="Times New Roman"/>
          <w:sz w:val="24"/>
        </w:rPr>
        <w:t>The null multilevel model showed that only 5.8% of general anaesthesia variance was attributable to the prefecture level (intraclass correlation coefficient 0.058), indicating that 94.2%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improvement for general anaesthesia (marginal R² 0.358; β = +64.1, 95% confidence interval 54.8 to 73.4) and was statistically significant for every code (all P &lt; 0.001) (Table 3). University hospital areas had higher general anaesthesia ratios than non-university areas in 47 of 47 prefectures, with a mean within-prefecture difference of +63.3 points (paired t = 13.28, P &lt; 0.001) (Figure 2). Cohen's d for the university hospital effect on general anaesthesia was 1.88; on continuous epidural infusion 1.30; on epidural anaesthesia 0.59; and on spinal anaesthesia 0.40.</w:t>
      </w:r>
    </w:p>
    <w:p>
      <w:pPr>
        <w:spacing w:before="160" w:after="80"/>
      </w:pPr>
      <w:r>
        <w:rPr>
          <w:rFonts w:ascii="Times New Roman" w:hAnsi="Times New Roman"/>
          <w:b/>
          <w:sz w:val="24"/>
        </w:rPr>
        <w:t>Sensitivity analyses against the audit hypothesis</w:t>
      </w:r>
    </w:p>
    <w:p>
      <w:r>
        <w:rPr>
          <w:rFonts w:ascii="Times New Roman" w:hAnsi="Times New Roman"/>
          <w:sz w:val="24"/>
        </w:rPr>
        <w:t>All three pre-specified sensitivity analyses converged in rejecting the audit hypothesis. First, within-prefecture variance decomposition attributed 14.5% of general anaesthesia variance to between-prefecture differences, 40.5% to the university hospital effect within prefecture, and 45.0% to residual within-group variation; the university hospital effect alone explained 47.4% of all within-prefecture variance. Second, general and spinal anaesthesia were positively, not negatively, correlated (r = +0.235, P &lt; 0.001), as were general and epidural anaesthesia (r = +0.319, P &lt; 0.001), inconsistent with audit-driven reclassification and consistent with a common supply factor. Third, the maximum prefectural audit-rate difference of 0.21 percentage points could produce a ratio shift of approximately 0.2 points, which is less than 0.3% of the observed interquartile range for general anaesthesia and less than 0.1% for epidural anaesthesia. Combining general and spinal ratios reduced the coefficient of variation only modestly from 53.6% to 43.4% (a 19% reduction), and the university hospital effect remained large on the combined measure (Cohen's d 1.26).</w:t>
      </w:r>
    </w:p>
    <w:p>
      <w:pPr>
        <w:spacing w:before="160" w:after="80"/>
      </w:pPr>
      <w:r>
        <w:rPr>
          <w:rFonts w:ascii="Times New Roman" w:hAnsi="Times New Roman"/>
          <w:b/>
          <w:sz w:val="24"/>
        </w:rPr>
        <w:t>Robustness: empirical Bayes shrinkage and outliers</w:t>
      </w:r>
    </w:p>
    <w:p>
      <w:r>
        <w:rPr>
          <w:rFonts w:ascii="Times New Roman" w:hAnsi="Times New Roman"/>
          <w:sz w:val="24"/>
        </w:rPr>
        <w:t>Empirical Bayes shrinkage toward prefecture means attenuated effect sizes modestly but did not change any conclusion. The university hospital effect on general anaesthesia decreased from Cohen's d = 1.89 (raw) to 1.72 (shrunken), an attenuation of 9.0%; spinal anaesthesia 9.1% (d 0.40 to 0.36); epidural anaesthesia 8.6% (d 0.59 to 0.54). All effect sizes remained large and statistically significant. Two areas were identified as outliers (more than three standard deviations from the mean general anaesthesia ratio): Awa in Chiba (ratio 216.7) and central Tokyo (ratio 435.7, containing five university hospitals). Excluding outliers did not alter the direction or statistical significance of any finding.</w:t>
      </w:r>
    </w:p>
    <w:p>
      <w:pPr>
        <w:spacing w:before="240" w:after="120"/>
      </w:pPr>
      <w:r>
        <w:rPr>
          <w:rFonts w:ascii="Times New Roman" w:hAnsi="Times New Roman"/>
          <w:b/>
          <w:sz w:val="26"/>
        </w:rPr>
        <w:t>DISCUSSION</w:t>
      </w:r>
    </w:p>
    <w:p>
      <w:pPr>
        <w:spacing w:before="160" w:after="80"/>
      </w:pPr>
      <w:r>
        <w:rPr>
          <w:rFonts w:ascii="Times New Roman" w:hAnsi="Times New Roman"/>
          <w:b/>
          <w:sz w:val="24"/>
        </w:rPr>
        <w:t>Statement of principal findings</w:t>
      </w:r>
    </w:p>
    <w:p>
      <w:r>
        <w:rPr>
          <w:rFonts w:ascii="Times New Roman" w:hAnsi="Times New Roman"/>
          <w:sz w:val="24"/>
        </w:rPr>
        <w:t>Regional variation in anaesthesia practice across Japan's 335 secondary medical areas is substantial, with coefficients of variation ranging from 53% for general anaesthesia to 87% for epidural anaesthesia. Multilevel modelling showed that only 5.8% of general anaesthesia variance is attributable to prefectures, while 94.2% occurs within prefectures where audit policy is uniform. University hospital presence explained 35.8% of total variance and 40.5% of within-prefecture variance, and the effect was present in all 47 prefectures despite differing audit practices. Three independent sensitivity analyses converged in rejecting differential auditing as a plausible explanation. The observed variation is therefore predominantly structural, driven by institutional capacity and clinical-organisational factors rather than by administrative coding.</w:t>
      </w:r>
    </w:p>
    <w:p>
      <w:pPr>
        <w:spacing w:before="160" w:after="80"/>
      </w:pPr>
      <w:r>
        <w:rPr>
          <w:rFonts w:ascii="Times New Roman" w:hAnsi="Times New Roman"/>
          <w:b/>
          <w:sz w:val="24"/>
        </w:rPr>
        <w:t>Strengths and limitations</w:t>
      </w:r>
    </w:p>
    <w:p>
      <w:r>
        <w:rPr>
          <w:rFonts w:ascii="Times New Roman" w:hAnsi="Times New Roman"/>
          <w:sz w:val="24"/>
        </w:rPr>
        <w:t>Strengths include the use of age- and sex-standardised ratios covering the entire national population; analysis at a fine geographic scale of 335 areas; multilevel modelling that properly accounts for the nested data structure; empirical Bayes shrinkage to address low-volume instability; multiple pre-specified sensitivity analyses; within-prefecture comparisons that hold audit policy constant; and the residence-based ratio definition that mitigates patient travel effects. Limitations include the ecological fallacy inherent in area-level analysis;</w:t>
      </w:r>
      <w:r>
        <w:rPr>
          <w:rFonts w:ascii="Times New Roman" w:hAnsi="Times New Roman"/>
          <w:sz w:val="24"/>
          <w:vertAlign w:val="superscript"/>
        </w:rPr>
        <w:t>19</w:t>
      </w:r>
      <w:r>
        <w:rPr>
          <w:rFonts w:ascii="Times New Roman" w:hAnsi="Times New Roman"/>
          <w:sz w:val="24"/>
        </w:rPr>
        <w:t xml:space="preserve"> the cross-sectional design, which precludes causal inference; the post-audit nature of the data, which reflects reimbursed rather than intended practice; the partial overlap between university hospital presence and urban concentration; the absence of code-specific audit-rate data; and the inability to quantify defensive undercoding from claims alone. Multilevel models included only university hospital presence as a structural fixed effect; future work should add additional area-level covariates such as urbanisation, bed density and case-mix indicators.</w:t>
      </w:r>
    </w:p>
    <w:p>
      <w:pPr>
        <w:spacing w:before="160" w:after="80"/>
      </w:pPr>
      <w:r>
        <w:rPr>
          <w:rFonts w:ascii="Times New Roman" w:hAnsi="Times New Roman"/>
          <w:b/>
          <w:sz w:val="24"/>
        </w:rPr>
        <w:t>Interpretation within the context of the wider literature</w:t>
      </w:r>
    </w:p>
    <w:p>
      <w:r>
        <w:rPr>
          <w:rFonts w:ascii="Times New Roman" w:hAnsi="Times New Roman"/>
          <w:sz w:val="24"/>
        </w:rPr>
        <w:t>Our findings are consistent with the broader medical practice variation literature. The Dartmouth Atlas project documented extensive regional variation in surgical rates in the United States, driven primarily by physician supply and practice style.</w:t>
      </w:r>
      <w:r>
        <w:rPr>
          <w:rFonts w:ascii="Times New Roman" w:hAnsi="Times New Roman"/>
          <w:sz w:val="24"/>
          <w:vertAlign w:val="superscript"/>
        </w:rPr>
        <w:t>21</w:t>
      </w:r>
      <w:r>
        <w:rPr>
          <w:rFonts w:ascii="Times New Roman" w:hAnsi="Times New Roman"/>
          <w:sz w:val="24"/>
        </w:rPr>
        <w:t xml:space="preserve"> Comparable patterns have been described for the National Health Service</w:t>
      </w:r>
      <w:r>
        <w:rPr>
          <w:rFonts w:ascii="Times New Roman" w:hAnsi="Times New Roman"/>
          <w:sz w:val="24"/>
          <w:vertAlign w:val="superscript"/>
        </w:rPr>
        <w:t>22</w:t>
      </w:r>
      <w:r>
        <w:rPr>
          <w:rFonts w:ascii="Times New Roman" w:hAnsi="Times New Roman"/>
          <w:sz w:val="24"/>
        </w:rPr>
        <w:t xml:space="preserve"> and in Germany</w:t>
      </w:r>
      <w:r>
        <w:rPr>
          <w:rFonts w:ascii="Times New Roman" w:hAnsi="Times New Roman"/>
          <w:sz w:val="24"/>
          <w:vertAlign w:val="superscript"/>
        </w:rPr>
        <w:t>23</w:t>
      </w:r>
      <w:r>
        <w:rPr>
          <w:rFonts w:ascii="Times New Roman" w:hAnsi="Times New Roman"/>
          <w:sz w:val="24"/>
        </w:rPr>
        <w:t xml:space="preserve"> and Australia.</w:t>
      </w:r>
      <w:r>
        <w:rPr>
          <w:rFonts w:ascii="Times New Roman" w:hAnsi="Times New Roman"/>
          <w:sz w:val="24"/>
          <w:vertAlign w:val="superscript"/>
        </w:rPr>
        <w:t>24</w:t>
      </w:r>
      <w:r>
        <w:rPr>
          <w:rFonts w:ascii="Times New Roman" w:hAnsi="Times New Roman"/>
          <w:sz w:val="24"/>
        </w:rPr>
        <w:t xml:space="preserve"> Our study extends this evidence by exploiting Japan's uniquely uniform fee schedule combined with prefecture-specific auditing to disentangle administrative and clinical sources of variation, and by providing the first multilevel small-area analysis of anaesthesia technique under universal coverage in East Asia. The university hospital effect we report (Cohen's d = 1.88) is unusually large compared with effect sizes typically reported in this literature, plausibly reflecting the influence of the ikyoku (university medical office) system on clinical practice in affiliated hospitals.</w:t>
      </w:r>
      <w:r>
        <w:rPr>
          <w:rFonts w:ascii="Times New Roman" w:hAnsi="Times New Roman"/>
          <w:sz w:val="24"/>
          <w:vertAlign w:val="superscript"/>
        </w:rPr>
        <w:t>25</w:t>
      </w:r>
      <w:r>
        <w:rPr>
          <w:rFonts w:ascii="Times New Roman" w:hAnsi="Times New Roman"/>
          <w:sz w:val="24"/>
        </w:rPr>
        <w:t xml:space="preserve"> The intraclass correlation coefficient of 0.058 for general anaesthesia is also noticeably lower than coefficients reported for surgical procedure rates in the United States,</w:t>
      </w:r>
      <w:r>
        <w:rPr>
          <w:rFonts w:ascii="Times New Roman" w:hAnsi="Times New Roman"/>
          <w:sz w:val="24"/>
          <w:vertAlign w:val="superscript"/>
        </w:rPr>
        <w:t>21</w:t>
      </w:r>
      <w:r>
        <w:rPr>
          <w:rFonts w:ascii="Times New Roman" w:hAnsi="Times New Roman"/>
          <w:sz w:val="24"/>
        </w:rPr>
        <w:t xml:space="preserve"> indicating that within-prefecture institutional factors dominate over prefectural-level factors for this code.</w:t>
      </w:r>
    </w:p>
    <w:p>
      <w:r>
        <w:rPr>
          <w:rFonts w:ascii="Times New Roman" w:hAnsi="Times New Roman"/>
          <w:sz w:val="24"/>
        </w:rPr>
        <w:t>Our findings and framework extend beyond Japan in four respects. First, the within-prefecture variance decomposition we describe is directly transportable to other universal-coverage systems that combine a centrally uniform fee schedule with regionally devolved claims auditing, including Taiwan's National Health Insurance,</w:t>
      </w:r>
      <w:r>
        <w:rPr>
          <w:rFonts w:ascii="Times New Roman" w:hAnsi="Times New Roman"/>
          <w:sz w:val="24"/>
          <w:vertAlign w:val="superscript"/>
        </w:rPr>
        <w:t>20</w:t>
      </w:r>
      <w:r>
        <w:rPr>
          <w:rFonts w:ascii="Times New Roman" w:hAnsi="Times New Roman"/>
          <w:sz w:val="24"/>
        </w:rPr>
        <w:t xml:space="preserve"> South Korea's National Health Insurance Service, and the tariff-based systems of Germany, France and the English National Health Service.</w:t>
      </w:r>
      <w:r>
        <w:rPr>
          <w:rFonts w:ascii="Times New Roman" w:hAnsi="Times New Roman"/>
          <w:sz w:val="24"/>
          <w:vertAlign w:val="superscript"/>
        </w:rPr>
        <w:t>22,23</w:t>
      </w:r>
      <w:r>
        <w:rPr>
          <w:rFonts w:ascii="Times New Roman" w:hAnsi="Times New Roman"/>
          <w:sz w:val="24"/>
        </w:rPr>
        <w:t xml:space="preserve"> Second, the dominance of tertiary-teaching-hospital concentration as a structural determinant of technique choice echoes analogous patterns for teaching-hospital anaesthesia mix reported in the US and United Kingdom,</w:t>
      </w:r>
      <w:r>
        <w:rPr>
          <w:rFonts w:ascii="Times New Roman" w:hAnsi="Times New Roman"/>
          <w:sz w:val="24"/>
          <w:vertAlign w:val="superscript"/>
        </w:rPr>
        <w:t>21,22</w:t>
      </w:r>
      <w:r>
        <w:rPr>
          <w:rFonts w:ascii="Times New Roman" w:hAnsi="Times New Roman"/>
          <w:sz w:val="24"/>
        </w:rPr>
        <w:t xml:space="preserve"> and for other tertiary-intensive specialties across OECD countries;</w:t>
      </w:r>
      <w:r>
        <w:rPr>
          <w:rFonts w:ascii="Times New Roman" w:hAnsi="Times New Roman"/>
          <w:sz w:val="24"/>
          <w:vertAlign w:val="superscript"/>
        </w:rPr>
        <w:t>26</w:t>
      </w:r>
      <w:r>
        <w:rPr>
          <w:rFonts w:ascii="Times New Roman" w:hAnsi="Times New Roman"/>
          <w:sz w:val="24"/>
        </w:rPr>
        <w:t xml:space="preserve"> the consistency of the university effect across 47 of 47 prefectures in our data suggests that it is a robust feature of high-income health systems rather than a Japanese idiosyncrasy. Third, the variation we identify in combined general-epidural anaesthesia speaks to an international equity agenda: where emerging evidence links regional anaesthesia to oncological and functional outcomes,</w:t>
      </w:r>
      <w:r>
        <w:rPr>
          <w:rFonts w:ascii="Times New Roman" w:hAnsi="Times New Roman"/>
          <w:sz w:val="24"/>
          <w:vertAlign w:val="superscript"/>
        </w:rPr>
        <w:t>7-9</w:t>
      </w:r>
      <w:r>
        <w:rPr>
          <w:rFonts w:ascii="Times New Roman" w:hAnsi="Times New Roman"/>
          <w:sz w:val="24"/>
        </w:rPr>
        <w:t xml:space="preserve"> monitoring the distribution of anaesthesia techniques could serve as a system-level quality indicator across any universal coverage setting committed to equitable access to technology-rich care.</w:t>
      </w:r>
      <w:r>
        <w:rPr>
          <w:rFonts w:ascii="Times New Roman" w:hAnsi="Times New Roman"/>
          <w:sz w:val="24"/>
          <w:vertAlign w:val="superscript"/>
        </w:rPr>
        <w:t>27,29</w:t>
      </w:r>
      <w:r>
        <w:rPr>
          <w:rFonts w:ascii="Times New Roman" w:hAnsi="Times New Roman"/>
          <w:sz w:val="24"/>
        </w:rPr>
        <w:t xml:space="preserve"> Fourth, extrapolation to low- and middle-income countries is more cautious: fee schedules and audit arrangements are typically heterogeneous and claims data often incomplete, which limits direct replication of the decomposition. Nevertheless, the general principle — that apparent small-area variation should be interrogated for administrative versus structural origins before policy action — is transferable, particularly as low- and middle-income countries progressively standardise their fee schedules under universal health coverage reforms.</w:t>
      </w:r>
      <w:r>
        <w:rPr>
          <w:rFonts w:ascii="Times New Roman" w:hAnsi="Times New Roman"/>
          <w:sz w:val="24"/>
          <w:vertAlign w:val="superscript"/>
        </w:rPr>
        <w:t>2</w:t>
      </w:r>
    </w:p>
    <w:p>
      <w:pPr>
        <w:spacing w:before="160" w:after="80"/>
      </w:pPr>
      <w:r>
        <w:rPr>
          <w:rFonts w:ascii="Times New Roman" w:hAnsi="Times New Roman"/>
          <w:b/>
          <w:sz w:val="24"/>
        </w:rPr>
        <w:t>Implications for policy, practice and research</w:t>
      </w:r>
    </w:p>
    <w:p>
      <w:r>
        <w:rPr>
          <w:rFonts w:ascii="Times New Roman" w:hAnsi="Times New Roman"/>
          <w:sz w:val="24"/>
        </w:rPr>
        <w:t>The marked variation in continuous epidural infusion (coefficient of variation 64.9%) is clinically important because combined general-regional anaesthesia has been linked, albeit inconsistently, with better oncological outcomes.</w:t>
      </w:r>
      <w:r>
        <w:rPr>
          <w:rFonts w:ascii="Times New Roman" w:hAnsi="Times New Roman"/>
          <w:sz w:val="24"/>
          <w:vertAlign w:val="superscript"/>
        </w:rPr>
        <w:t>7-9</w:t>
      </w:r>
      <w:r>
        <w:rPr>
          <w:rFonts w:ascii="Times New Roman" w:hAnsi="Times New Roman"/>
          <w:sz w:val="24"/>
        </w:rPr>
        <w:t xml:space="preserve"> A 1.73-fold difference in continuous epidural infusion ratios between university and non-university areas implies that patients' access to a potentially beneficial technique depends substantially on where they live, which challenges the equity premise of Japan's universal coverage. Quality improvement responses could include targeted education, specialist outreach from university centres, and monitoring anaesthesia technique distribution as a system-level quality indicator,</w:t>
      </w:r>
      <w:r>
        <w:rPr>
          <w:rFonts w:ascii="Times New Roman" w:hAnsi="Times New Roman"/>
          <w:sz w:val="24"/>
          <w:vertAlign w:val="superscript"/>
        </w:rPr>
        <w:t>27,29</w:t>
      </w:r>
      <w:r>
        <w:rPr>
          <w:rFonts w:ascii="Times New Roman" w:hAnsi="Times New Roman"/>
          <w:sz w:val="24"/>
        </w:rPr>
        <w:t xml:space="preserve"> aligned with international standards for safe practice of anaesthesia.</w:t>
      </w:r>
      <w:r>
        <w:rPr>
          <w:rFonts w:ascii="Times New Roman" w:hAnsi="Times New Roman"/>
          <w:sz w:val="24"/>
          <w:vertAlign w:val="superscript"/>
        </w:rPr>
        <w:t>28</w:t>
      </w:r>
      <w:r>
        <w:rPr>
          <w:rFonts w:ascii="Times New Roman" w:hAnsi="Times New Roman"/>
          <w:sz w:val="24"/>
        </w:rPr>
        <w:t xml:space="preserve"> The within-prefecture variance decomposition and multilevel sensitivity framework developed here are generalisable to other procedures under universal insurance and provide a transferable tool for distinguishing administrative from structural sources of small-area variation.</w:t>
      </w:r>
    </w:p>
    <w:p>
      <w:pPr>
        <w:spacing w:before="240" w:after="120"/>
      </w:pPr>
      <w:r>
        <w:rPr>
          <w:rFonts w:ascii="Times New Roman" w:hAnsi="Times New Roman"/>
          <w:b/>
          <w:sz w:val="26"/>
        </w:rPr>
        <w:t>CONCLUSIONS</w:t>
      </w:r>
    </w:p>
    <w:p>
      <w:r>
        <w:rPr>
          <w:rFonts w:ascii="Times New Roman" w:hAnsi="Times New Roman"/>
          <w:sz w:val="24"/>
        </w:rPr>
        <w:t>Regional variation in anaesthesia practice in Japan is large and predominantly structural rather than an artefact of insurance auditing. University hospital presence is the dominant determinant, explaining more than one third of total variance in general anaesthesia. The variation in combined general-epidural anaesthesia is of particular concern given emerging evidence of oncological benefit. Quality improvement and equity policy should address the supply and organisational determinants of anaesthesia practice rather than treat the variation as an unavoidable feature of claims processing.</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GBD 2019 Universal Health Coverage Collaborators. Measuring universal health coverage based on an index of effective coverage of health services in 204 countries and territories, 1990-2019. Lancet 2020;396:1250-84.</w:t>
      </w:r>
    </w:p>
    <w:p>
      <w:pPr>
        <w:spacing w:after="0" w:line="480" w:lineRule="auto"/>
      </w:pPr>
      <w:r>
        <w:rPr>
          <w:rFonts w:ascii="Times New Roman" w:hAnsi="Times New Roman"/>
          <w:sz w:val="24"/>
        </w:rPr>
        <w:t xml:space="preserve">3.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4. </w:t>
      </w:r>
      <w:r>
        <w:rPr>
          <w:rFonts w:ascii="Times New Roman" w:hAnsi="Times New Roman"/>
          <w:sz w:val="24"/>
        </w:rPr>
        <w:t>Ministry of Health, Labour and Welfare. Patient Survey 2008. Tokyo: MHLW, 2009.</w:t>
      </w:r>
    </w:p>
    <w:p>
      <w:pPr>
        <w:spacing w:after="0" w:line="480" w:lineRule="auto"/>
      </w:pPr>
      <w:r>
        <w:rPr>
          <w:rFonts w:ascii="Times New Roman" w:hAnsi="Times New Roman"/>
          <w:sz w:val="24"/>
        </w:rPr>
        <w:t xml:space="preserve">5.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6. </w:t>
      </w:r>
      <w:r>
        <w:rPr>
          <w:rFonts w:ascii="Times New Roman" w:hAnsi="Times New Roman"/>
          <w:sz w:val="24"/>
        </w:rPr>
        <w:t>Cabinet Office. Indicators of regional variation in healthcare and long-term care: insurance auditing rates by prefecture. Tokyo: Cabinet Office, 2023.</w:t>
      </w:r>
    </w:p>
    <w:p>
      <w:pPr>
        <w:spacing w:after="0" w:line="480" w:lineRule="auto"/>
      </w:pPr>
      <w:r>
        <w:rPr>
          <w:rFonts w:ascii="Times New Roman" w:hAnsi="Times New Roman"/>
          <w:sz w:val="24"/>
        </w:rPr>
        <w:t xml:space="preserve">7.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8. </w:t>
      </w:r>
      <w:r>
        <w:rPr>
          <w:rFonts w:ascii="Times New Roman" w:hAnsi="Times New Roman"/>
          <w:sz w:val="24"/>
        </w:rPr>
        <w:t>Chen WK, Miao CH. The effect of anesthetic technique on survival in human cancers: a meta-analysis of retrospective and prospective studies. PLoS One 2013;8:e56540.</w:t>
      </w:r>
    </w:p>
    <w:p>
      <w:pPr>
        <w:spacing w:after="0" w:line="480" w:lineRule="auto"/>
      </w:pPr>
      <w:r>
        <w:rPr>
          <w:rFonts w:ascii="Times New Roman" w:hAnsi="Times New Roman"/>
          <w:sz w:val="24"/>
        </w:rPr>
        <w:t xml:space="preserve">9.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10. </w:t>
      </w:r>
      <w:r>
        <w:rPr>
          <w:rFonts w:ascii="Times New Roman" w:hAnsi="Times New Roman"/>
          <w:sz w:val="24"/>
        </w:rPr>
        <w:t>Ministry of Health, Labour and Welfare. 2026 revision of the medical fee schedule: notice on anaesthesia code revisions. Tokyo: MHLW, 2025.</w:t>
      </w:r>
    </w:p>
    <w:p>
      <w:pPr>
        <w:spacing w:after="0" w:line="480" w:lineRule="auto"/>
      </w:pPr>
      <w:r>
        <w:rPr>
          <w:rFonts w:ascii="Times New Roman" w:hAnsi="Times New Roman"/>
          <w:sz w:val="24"/>
        </w:rPr>
        <w:t xml:space="preserve">11.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12. </w:t>
      </w:r>
      <w:r>
        <w:rPr>
          <w:rFonts w:ascii="Times New Roman" w:hAnsi="Times New Roman"/>
          <w:sz w:val="24"/>
        </w:rPr>
        <w:t>Cabinet Office. Regional variation visualisation (chiikisa no mieruka). https://www5.cao.go.jp/keizai-shimon/kaigi/special/reform/mieruka/ (accessed 10 Mar 2026).</w:t>
      </w:r>
    </w:p>
    <w:p>
      <w:pPr>
        <w:spacing w:after="0" w:line="480" w:lineRule="auto"/>
      </w:pPr>
      <w:r>
        <w:rPr>
          <w:rFonts w:ascii="Times New Roman" w:hAnsi="Times New Roman"/>
          <w:sz w:val="24"/>
        </w:rPr>
        <w:t xml:space="preserve">13.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14.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15. </w:t>
      </w:r>
      <w:r>
        <w:rPr>
          <w:rFonts w:ascii="Times New Roman" w:hAnsi="Times New Roman"/>
          <w:sz w:val="24"/>
        </w:rPr>
        <w:t>Cohen J. Statistical Power Analysis for the Behavioral Sciences. 2nd ed. Hillsdale, NJ: Lawrence Erlbaum, 1988.</w:t>
      </w:r>
    </w:p>
    <w:p>
      <w:pPr>
        <w:spacing w:after="0" w:line="480" w:lineRule="auto"/>
      </w:pPr>
      <w:r>
        <w:rPr>
          <w:rFonts w:ascii="Times New Roman" w:hAnsi="Times New Roman"/>
          <w:sz w:val="24"/>
        </w:rPr>
        <w:t xml:space="preserve">16. </w:t>
      </w:r>
      <w:r>
        <w:rPr>
          <w:rFonts w:ascii="Times New Roman" w:hAnsi="Times New Roman"/>
          <w:sz w:val="24"/>
        </w:rPr>
        <w:t>Rabe-Hesketh S, Skrondal A. Multilevel and Longitudinal Modeling Using Stata. 3rd ed. College Station, TX: Stata Press, 2012.</w:t>
      </w:r>
    </w:p>
    <w:p>
      <w:pPr>
        <w:spacing w:after="0" w:line="480" w:lineRule="auto"/>
      </w:pPr>
      <w:r>
        <w:rPr>
          <w:rFonts w:ascii="Times New Roman" w:hAnsi="Times New Roman"/>
          <w:sz w:val="24"/>
        </w:rPr>
        <w:t xml:space="preserve">17.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18. </w:t>
      </w:r>
      <w:r>
        <w:rPr>
          <w:rFonts w:ascii="Times New Roman" w:hAnsi="Times New Roman"/>
          <w:sz w:val="24"/>
        </w:rPr>
        <w:t>Efron B, Morris C. Stein's estimation rule and its competitors: an empirical Bayes approach. J Am Stat Assoc 1973;68:117-30.</w:t>
      </w:r>
    </w:p>
    <w:p>
      <w:pPr>
        <w:spacing w:after="0" w:line="480" w:lineRule="auto"/>
      </w:pPr>
      <w:r>
        <w:rPr>
          <w:rFonts w:ascii="Times New Roman" w:hAnsi="Times New Roman"/>
          <w:sz w:val="24"/>
        </w:rPr>
        <w:t xml:space="preserve">19.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20. </w:t>
      </w:r>
      <w:r>
        <w:rPr>
          <w:rFonts w:ascii="Times New Roman" w:hAnsi="Times New Roman"/>
          <w:sz w:val="24"/>
        </w:rPr>
        <w:t>Cheng T-M. Taiwan's new national health insurance program: genesis and experience so far. Health Aff (Millwood) 2003;22:61-76.</w:t>
      </w:r>
    </w:p>
    <w:p>
      <w:pPr>
        <w:spacing w:after="0" w:line="480" w:lineRule="auto"/>
      </w:pPr>
      <w:r>
        <w:rPr>
          <w:rFonts w:ascii="Times New Roman" w:hAnsi="Times New Roman"/>
          <w:sz w:val="24"/>
        </w:rPr>
        <w:t xml:space="preserve">21.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22.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23. </w:t>
      </w:r>
      <w:r>
        <w:rPr>
          <w:rFonts w:ascii="Times New Roman" w:hAnsi="Times New Roman"/>
          <w:sz w:val="24"/>
        </w:rPr>
        <w:t>Wengler A, Nimptsch U, Mansky T. Hip and knee replacement surgery (arthroplasty) and geographic variations in Germany. Dtsch Arztebl Int 2014;111:407-16.</w:t>
      </w:r>
    </w:p>
    <w:p>
      <w:pPr>
        <w:spacing w:after="0" w:line="480" w:lineRule="auto"/>
      </w:pPr>
      <w:r>
        <w:rPr>
          <w:rFonts w:ascii="Times New Roman" w:hAnsi="Times New Roman"/>
          <w:sz w:val="24"/>
        </w:rPr>
        <w:t xml:space="preserve">24.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25.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26. </w:t>
      </w:r>
      <w:r>
        <w:rPr>
          <w:rFonts w:ascii="Times New Roman" w:hAnsi="Times New Roman"/>
          <w:sz w:val="24"/>
        </w:rPr>
        <w:t>OECD. Geographic Variations in Health Care: What Do We Know and What Can Be Done to Improve Health System Performance? Paris: OECD Publishing, 2014.</w:t>
      </w:r>
    </w:p>
    <w:p>
      <w:pPr>
        <w:spacing w:after="0" w:line="480" w:lineRule="auto"/>
      </w:pPr>
      <w:r>
        <w:rPr>
          <w:rFonts w:ascii="Times New Roman" w:hAnsi="Times New Roman"/>
          <w:sz w:val="24"/>
        </w:rPr>
        <w:t xml:space="preserve">27. </w:t>
      </w:r>
      <w:r>
        <w:rPr>
          <w:rFonts w:ascii="Times New Roman" w:hAnsi="Times New Roman"/>
          <w:sz w:val="24"/>
        </w:rPr>
        <w:t>Donabedian A. The quality of care: how can it be assessed? JAMA 1988;260:1743-8.</w:t>
      </w:r>
    </w:p>
    <w:p>
      <w:pPr>
        <w:spacing w:after="0" w:line="480" w:lineRule="auto"/>
      </w:pPr>
      <w:r>
        <w:rPr>
          <w:rFonts w:ascii="Times New Roman" w:hAnsi="Times New Roman"/>
          <w:sz w:val="24"/>
        </w:rPr>
        <w:t xml:space="preserve">28. </w:t>
      </w:r>
      <w:r>
        <w:rPr>
          <w:rFonts w:ascii="Times New Roman" w:hAnsi="Times New Roman"/>
          <w:sz w:val="24"/>
        </w:rPr>
        <w:t>Merry AF, Cooper JB, Soyannwo O, et al. International standards for a safe practice of anesthesia 2010. Can J Anesth 2010;57:1027-34.</w:t>
      </w:r>
    </w:p>
    <w:p>
      <w:pPr>
        <w:spacing w:after="0" w:line="480" w:lineRule="auto"/>
      </w:pPr>
      <w:r>
        <w:rPr>
          <w:rFonts w:ascii="Times New Roman" w:hAnsi="Times New Roman"/>
          <w:sz w:val="24"/>
        </w:rPr>
        <w:t xml:space="preserve">29. </w:t>
      </w:r>
      <w:r>
        <w:rPr>
          <w:rFonts w:ascii="Times New Roman" w:hAnsi="Times New Roman"/>
          <w:sz w:val="24"/>
        </w:rPr>
        <w:t>Mainz J. Defining and classifying clinical indicators for quality improvement. Int J Qual Health Care 2003;15:523-30.</w:t>
      </w:r>
    </w:p>
    <w:p>
      <w:pPr>
        <w:spacing w:after="0" w:line="480" w:lineRule="auto"/>
      </w:pPr>
      <w:r>
        <w:rPr>
          <w:rFonts w:ascii="Times New Roman" w:hAnsi="Times New Roman"/>
          <w:sz w:val="24"/>
        </w:rPr>
        <w:t xml:space="preserve">30.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r>
        <w:br w:type="page"/>
      </w:r>
    </w:p>
    <w:p>
      <w:pPr>
        <w:spacing w:before="0" w:after="120"/>
      </w:pPr>
      <w:r>
        <w:rPr>
          <w:rFonts w:ascii="Times New Roman" w:hAnsi="Times New Roman"/>
          <w:b/>
          <w:sz w:val="26"/>
        </w:rPr>
        <w:t>TABLES</w:t>
      </w:r>
    </w:p>
    <w:p>
      <w:r>
        <w:rPr>
          <w:rFonts w:ascii="Times New Roman" w:hAnsi="Times New Roman"/>
          <w:b/>
          <w:sz w:val="24"/>
        </w:rPr>
        <w:t>Table 1. Anaesthesia procedure codes analysed.</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rFonts w:ascii="Times New Roman" w:hAnsi="Times New Roman"/>
                <w:b/>
                <w:sz w:val="22"/>
              </w:rPr>
              <w:t>Code</w:t>
            </w:r>
          </w:p>
        </w:tc>
        <w:tc>
          <w:tcPr>
            <w:tcW w:type="dxa" w:w="3009"/>
          </w:tcPr>
          <w:p>
            <w:r>
              <w:rPr>
                <w:rFonts w:ascii="Times New Roman" w:hAnsi="Times New Roman"/>
                <w:b/>
                <w:sz w:val="22"/>
              </w:rPr>
              <w:t>Procedure</w:t>
            </w:r>
          </w:p>
        </w:tc>
        <w:tc>
          <w:tcPr>
            <w:tcW w:type="dxa" w:w="3009"/>
          </w:tcPr>
          <w:p>
            <w:r>
              <w:rPr>
                <w:rFonts w:ascii="Times New Roman" w:hAnsi="Times New Roman"/>
                <w:b/>
                <w:sz w:val="22"/>
              </w:rPr>
              <w:t>Notes</w:t>
            </w:r>
          </w:p>
        </w:tc>
      </w:tr>
      <w:tr>
        <w:tc>
          <w:tcPr>
            <w:tcW w:type="dxa" w:w="3009"/>
          </w:tcPr>
          <w:p>
            <w:r>
              <w:rPr>
                <w:rFonts w:ascii="Times New Roman" w:hAnsi="Times New Roman"/>
                <w:sz w:val="22"/>
              </w:rPr>
              <w:t>L008</w:t>
            </w:r>
          </w:p>
        </w:tc>
        <w:tc>
          <w:tcPr>
            <w:tcW w:type="dxa" w:w="3009"/>
          </w:tcPr>
          <w:p>
            <w:r>
              <w:rPr>
                <w:rFonts w:ascii="Times New Roman" w:hAnsi="Times New Roman"/>
                <w:sz w:val="22"/>
              </w:rPr>
              <w:t>Closed-circuit general anaesthesia</w:t>
            </w:r>
          </w:p>
        </w:tc>
        <w:tc>
          <w:tcPr>
            <w:tcW w:type="dxa" w:w="3009"/>
          </w:tcPr>
          <w:p>
            <w:r>
              <w:rPr>
                <w:rFonts w:ascii="Times New Roman" w:hAnsi="Times New Roman"/>
                <w:sz w:val="22"/>
              </w:rPr>
              <w:t>Primary indicator of overall general anaesthesia volume</w:t>
            </w:r>
          </w:p>
        </w:tc>
      </w:tr>
      <w:tr>
        <w:tc>
          <w:tcPr>
            <w:tcW w:type="dxa" w:w="3009"/>
          </w:tcPr>
          <w:p>
            <w:r>
              <w:rPr>
                <w:rFonts w:ascii="Times New Roman" w:hAnsi="Times New Roman"/>
                <w:sz w:val="22"/>
              </w:rPr>
              <w:t>L002</w:t>
            </w:r>
          </w:p>
        </w:tc>
        <w:tc>
          <w:tcPr>
            <w:tcW w:type="dxa" w:w="3009"/>
          </w:tcPr>
          <w:p>
            <w:r>
              <w:rPr>
                <w:rFonts w:ascii="Times New Roman" w:hAnsi="Times New Roman"/>
                <w:sz w:val="22"/>
              </w:rPr>
              <w:t>Epidural anaesthesia</w:t>
            </w:r>
          </w:p>
        </w:tc>
        <w:tc>
          <w:tcPr>
            <w:tcW w:type="dxa" w:w="3009"/>
          </w:tcPr>
          <w:p>
            <w:r>
              <w:rPr>
                <w:rFonts w:ascii="Times New Roman" w:hAnsi="Times New Roman"/>
                <w:sz w:val="22"/>
              </w:rPr>
              <w:t>Marker of regional technique use</w:t>
            </w:r>
          </w:p>
        </w:tc>
      </w:tr>
      <w:tr>
        <w:tc>
          <w:tcPr>
            <w:tcW w:type="dxa" w:w="3009"/>
          </w:tcPr>
          <w:p>
            <w:r>
              <w:rPr>
                <w:rFonts w:ascii="Times New Roman" w:hAnsi="Times New Roman"/>
                <w:sz w:val="22"/>
              </w:rPr>
              <w:t>L003</w:t>
            </w:r>
          </w:p>
        </w:tc>
        <w:tc>
          <w:tcPr>
            <w:tcW w:type="dxa" w:w="3009"/>
          </w:tcPr>
          <w:p>
            <w:r>
              <w:rPr>
                <w:rFonts w:ascii="Times New Roman" w:hAnsi="Times New Roman"/>
                <w:sz w:val="22"/>
              </w:rPr>
              <w:t>Continuous epidural infusion</w:t>
            </w:r>
          </w:p>
        </w:tc>
        <w:tc>
          <w:tcPr>
            <w:tcW w:type="dxa" w:w="3009"/>
          </w:tcPr>
          <w:p>
            <w:r>
              <w:rPr>
                <w:rFonts w:ascii="Times New Roman" w:hAnsi="Times New Roman"/>
                <w:sz w:val="22"/>
              </w:rPr>
              <w:t>Direct indicator of combined general-epidural technique</w:t>
            </w:r>
          </w:p>
        </w:tc>
      </w:tr>
      <w:tr>
        <w:tc>
          <w:tcPr>
            <w:tcW w:type="dxa" w:w="3009"/>
          </w:tcPr>
          <w:p>
            <w:r>
              <w:rPr>
                <w:rFonts w:ascii="Times New Roman" w:hAnsi="Times New Roman"/>
                <w:sz w:val="22"/>
              </w:rPr>
              <w:t>L004</w:t>
            </w:r>
          </w:p>
        </w:tc>
        <w:tc>
          <w:tcPr>
            <w:tcW w:type="dxa" w:w="3009"/>
          </w:tcPr>
          <w:p>
            <w:r>
              <w:rPr>
                <w:rFonts w:ascii="Times New Roman" w:hAnsi="Times New Roman"/>
                <w:sz w:val="22"/>
              </w:rPr>
              <w:t>Spinal anaesthesia</w:t>
            </w:r>
          </w:p>
        </w:tc>
        <w:tc>
          <w:tcPr>
            <w:tcW w:type="dxa" w:w="3009"/>
          </w:tcPr>
          <w:p>
            <w:r>
              <w:rPr>
                <w:rFonts w:ascii="Times New Roman" w:hAnsi="Times New Roman"/>
                <w:sz w:val="22"/>
              </w:rPr>
              <w:t>Alternative regional technique</w:t>
            </w:r>
          </w:p>
        </w:tc>
      </w:tr>
      <w:tr>
        <w:tc>
          <w:tcPr>
            <w:tcW w:type="dxa" w:w="3009"/>
          </w:tcPr>
          <w:p>
            <w:r>
              <w:rPr>
                <w:rFonts w:ascii="Times New Roman" w:hAnsi="Times New Roman"/>
                <w:sz w:val="22"/>
              </w:rPr>
              <w:t>L009</w:t>
            </w:r>
          </w:p>
        </w:tc>
        <w:tc>
          <w:tcPr>
            <w:tcW w:type="dxa" w:w="3009"/>
          </w:tcPr>
          <w:p>
            <w:r>
              <w:rPr>
                <w:rFonts w:ascii="Times New Roman" w:hAnsi="Times New Roman"/>
                <w:sz w:val="22"/>
              </w:rPr>
              <w:t>Anaesthesia management fee I</w:t>
            </w:r>
          </w:p>
        </w:tc>
        <w:tc>
          <w:tcPr>
            <w:tcW w:type="dxa" w:w="3009"/>
          </w:tcPr>
          <w:p>
            <w:r>
              <w:rPr>
                <w:rFonts w:ascii="Times New Roman" w:hAnsi="Times New Roman"/>
                <w:sz w:val="22"/>
              </w:rPr>
              <w:t>Proxy for specialist anaesthesiologist staffing</w:t>
            </w:r>
          </w:p>
        </w:tc>
      </w:tr>
      <w:tr>
        <w:tc>
          <w:tcPr>
            <w:tcW w:type="dxa" w:w="3009"/>
          </w:tcPr>
          <w:p>
            <w:r>
              <w:rPr>
                <w:rFonts w:ascii="Times New Roman" w:hAnsi="Times New Roman"/>
                <w:sz w:val="22"/>
              </w:rPr>
              <w:t>L100</w:t>
            </w:r>
          </w:p>
        </w:tc>
        <w:tc>
          <w:tcPr>
            <w:tcW w:type="dxa" w:w="3009"/>
          </w:tcPr>
          <w:p>
            <w:r>
              <w:rPr>
                <w:rFonts w:ascii="Times New Roman" w:hAnsi="Times New Roman"/>
                <w:sz w:val="22"/>
              </w:rPr>
              <w:t>Nerve block, inpatient</w:t>
            </w:r>
          </w:p>
        </w:tc>
        <w:tc>
          <w:tcPr>
            <w:tcW w:type="dxa" w:w="3009"/>
          </w:tcPr>
          <w:p>
            <w:r>
              <w:rPr>
                <w:rFonts w:ascii="Times New Roman" w:hAnsi="Times New Roman"/>
                <w:sz w:val="22"/>
              </w:rPr>
              <w:t>Indicator of pain-clinic activity</w:t>
            </w:r>
          </w:p>
        </w:tc>
      </w:tr>
    </w:tbl>
    <w:p>
      <w:pPr>
        <w:spacing w:after="0"/>
      </w:pPr>
    </w:p>
    <w:p>
      <w:r>
        <w:rPr>
          <w:rFonts w:ascii="Times New Roman" w:hAnsi="Times New Roman"/>
          <w:i/>
          <w:sz w:val="24"/>
        </w:rPr>
        <w:t>Source: Japanese fee schedule (shinryo houshu tensuhyo), fiscal year 2022. L codes correspond to anaesthesia-related procedures. Standardised claim ratios were computed for each code by indirect age- and sex-standardisation against the national average (= 100).</w:t>
      </w:r>
    </w:p>
    <w:p>
      <w:r>
        <w:br w:type="page"/>
      </w:r>
    </w:p>
    <w:p>
      <w:r>
        <w:rPr>
          <w:rFonts w:ascii="Times New Roman" w:hAnsi="Times New Roman"/>
          <w:b/>
          <w:sz w:val="24"/>
        </w:rPr>
        <w:t>Table 2.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rFonts w:ascii="Times New Roman" w:hAnsi="Times New Roman"/>
                <w:b/>
                <w:sz w:val="20"/>
              </w:rPr>
              <w:t>Code</w:t>
            </w:r>
          </w:p>
        </w:tc>
        <w:tc>
          <w:tcPr>
            <w:tcW w:type="dxa" w:w="1128"/>
          </w:tcPr>
          <w:p>
            <w:r>
              <w:rPr>
                <w:rFonts w:ascii="Times New Roman" w:hAnsi="Times New Roman"/>
                <w:b/>
                <w:sz w:val="20"/>
              </w:rPr>
              <w:t>n</w:t>
            </w:r>
          </w:p>
        </w:tc>
        <w:tc>
          <w:tcPr>
            <w:tcW w:type="dxa" w:w="1128"/>
          </w:tcPr>
          <w:p>
            <w:r>
              <w:rPr>
                <w:rFonts w:ascii="Times New Roman" w:hAnsi="Times New Roman"/>
                <w:b/>
                <w:sz w:val="20"/>
              </w:rPr>
              <w:t>Mean (SD)</w:t>
            </w:r>
          </w:p>
        </w:tc>
        <w:tc>
          <w:tcPr>
            <w:tcW w:type="dxa" w:w="1128"/>
          </w:tcPr>
          <w:p>
            <w:r>
              <w:rPr>
                <w:rFonts w:ascii="Times New Roman" w:hAnsi="Times New Roman"/>
                <w:b/>
                <w:sz w:val="20"/>
              </w:rPr>
              <w:t>Median (IQR)</w:t>
            </w:r>
          </w:p>
        </w:tc>
        <w:tc>
          <w:tcPr>
            <w:tcW w:type="dxa" w:w="1128"/>
          </w:tcPr>
          <w:p>
            <w:r>
              <w:rPr>
                <w:rFonts w:ascii="Times New Roman" w:hAnsi="Times New Roman"/>
                <w:b/>
                <w:sz w:val="20"/>
              </w:rPr>
              <w:t>Min</w:t>
            </w:r>
          </w:p>
        </w:tc>
        <w:tc>
          <w:tcPr>
            <w:tcW w:type="dxa" w:w="1128"/>
          </w:tcPr>
          <w:p>
            <w:r>
              <w:rPr>
                <w:rFonts w:ascii="Times New Roman" w:hAnsi="Times New Roman"/>
                <w:b/>
                <w:sz w:val="20"/>
              </w:rPr>
              <w:t>Max</w:t>
            </w:r>
          </w:p>
        </w:tc>
        <w:tc>
          <w:tcPr>
            <w:tcW w:type="dxa" w:w="1128"/>
          </w:tcPr>
          <w:p>
            <w:r>
              <w:rPr>
                <w:rFonts w:ascii="Times New Roman" w:hAnsi="Times New Roman"/>
                <w:b/>
                <w:sz w:val="20"/>
              </w:rPr>
              <w:t>CV (%)</w:t>
            </w:r>
          </w:p>
        </w:tc>
        <w:tc>
          <w:tcPr>
            <w:tcW w:type="dxa" w:w="1128"/>
          </w:tcPr>
          <w:p>
            <w:r>
              <w:rPr>
                <w:rFonts w:ascii="Times New Roman" w:hAnsi="Times New Roman"/>
                <w:b/>
                <w:sz w:val="20"/>
              </w:rPr>
              <w:t>Range ratio</w:t>
            </w:r>
          </w:p>
        </w:tc>
      </w:tr>
      <w:tr>
        <w:tc>
          <w:tcPr>
            <w:tcW w:type="dxa" w:w="1128"/>
          </w:tcPr>
          <w:p>
            <w:r>
              <w:rPr>
                <w:rFonts w:ascii="Times New Roman" w:hAnsi="Times New Roman"/>
                <w:sz w:val="20"/>
              </w:rPr>
              <w:t>L008</w:t>
            </w:r>
          </w:p>
        </w:tc>
        <w:tc>
          <w:tcPr>
            <w:tcW w:type="dxa" w:w="1128"/>
          </w:tcPr>
          <w:p>
            <w:r>
              <w:rPr>
                <w:rFonts w:ascii="Times New Roman" w:hAnsi="Times New Roman"/>
                <w:sz w:val="20"/>
              </w:rPr>
              <w:t>334</w:t>
            </w:r>
          </w:p>
        </w:tc>
        <w:tc>
          <w:tcPr>
            <w:tcW w:type="dxa" w:w="1128"/>
          </w:tcPr>
          <w:p>
            <w:r>
              <w:rPr>
                <w:rFonts w:ascii="Times New Roman" w:hAnsi="Times New Roman"/>
                <w:sz w:val="20"/>
              </w:rPr>
              <w:t>85.7 (45.9)</w:t>
            </w:r>
          </w:p>
        </w:tc>
        <w:tc>
          <w:tcPr>
            <w:tcW w:type="dxa" w:w="1128"/>
          </w:tcPr>
          <w:p>
            <w:r>
              <w:rPr>
                <w:rFonts w:ascii="Times New Roman" w:hAnsi="Times New Roman"/>
                <w:sz w:val="20"/>
              </w:rPr>
              <w:t>76.5 (53.0-110.5)</w:t>
            </w:r>
          </w:p>
        </w:tc>
        <w:tc>
          <w:tcPr>
            <w:tcW w:type="dxa" w:w="1128"/>
          </w:tcPr>
          <w:p>
            <w:r>
              <w:rPr>
                <w:rFonts w:ascii="Times New Roman" w:hAnsi="Times New Roman"/>
                <w:sz w:val="20"/>
              </w:rPr>
              <w:t>2.3</w:t>
            </w:r>
          </w:p>
        </w:tc>
        <w:tc>
          <w:tcPr>
            <w:tcW w:type="dxa" w:w="1128"/>
          </w:tcPr>
          <w:p>
            <w:r>
              <w:rPr>
                <w:rFonts w:ascii="Times New Roman" w:hAnsi="Times New Roman"/>
                <w:sz w:val="20"/>
              </w:rPr>
              <w:t>435.7</w:t>
            </w:r>
          </w:p>
        </w:tc>
        <w:tc>
          <w:tcPr>
            <w:tcW w:type="dxa" w:w="1128"/>
          </w:tcPr>
          <w:p>
            <w:r>
              <w:rPr>
                <w:rFonts w:ascii="Times New Roman" w:hAnsi="Times New Roman"/>
                <w:sz w:val="20"/>
              </w:rPr>
              <w:t>53.6</w:t>
            </w:r>
          </w:p>
        </w:tc>
        <w:tc>
          <w:tcPr>
            <w:tcW w:type="dxa" w:w="1128"/>
          </w:tcPr>
          <w:p>
            <w:r>
              <w:rPr>
                <w:rFonts w:ascii="Times New Roman" w:hAnsi="Times New Roman"/>
                <w:sz w:val="20"/>
              </w:rPr>
              <w:t>189</w:t>
            </w:r>
          </w:p>
        </w:tc>
      </w:tr>
      <w:tr>
        <w:tc>
          <w:tcPr>
            <w:tcW w:type="dxa" w:w="1128"/>
          </w:tcPr>
          <w:p>
            <w:r>
              <w:rPr>
                <w:rFonts w:ascii="Times New Roman" w:hAnsi="Times New Roman"/>
                <w:sz w:val="20"/>
              </w:rPr>
              <w:t>L002</w:t>
            </w:r>
          </w:p>
        </w:tc>
        <w:tc>
          <w:tcPr>
            <w:tcW w:type="dxa" w:w="1128"/>
          </w:tcPr>
          <w:p>
            <w:r>
              <w:rPr>
                <w:rFonts w:ascii="Times New Roman" w:hAnsi="Times New Roman"/>
                <w:sz w:val="20"/>
              </w:rPr>
              <w:t>307</w:t>
            </w:r>
          </w:p>
        </w:tc>
        <w:tc>
          <w:tcPr>
            <w:tcW w:type="dxa" w:w="1128"/>
          </w:tcPr>
          <w:p>
            <w:r>
              <w:rPr>
                <w:rFonts w:ascii="Times New Roman" w:hAnsi="Times New Roman"/>
                <w:sz w:val="20"/>
              </w:rPr>
              <w:t>61.4 (53.4)</w:t>
            </w:r>
          </w:p>
        </w:tc>
        <w:tc>
          <w:tcPr>
            <w:tcW w:type="dxa" w:w="1128"/>
          </w:tcPr>
          <w:p>
            <w:r>
              <w:rPr>
                <w:rFonts w:ascii="Times New Roman" w:hAnsi="Times New Roman"/>
                <w:sz w:val="20"/>
              </w:rPr>
              <w:t>47.7 (24.5-83.4)</w:t>
            </w:r>
          </w:p>
        </w:tc>
        <w:tc>
          <w:tcPr>
            <w:tcW w:type="dxa" w:w="1128"/>
          </w:tcPr>
          <w:p>
            <w:r>
              <w:rPr>
                <w:rFonts w:ascii="Times New Roman" w:hAnsi="Times New Roman"/>
                <w:sz w:val="20"/>
              </w:rPr>
              <w:t>0</w:t>
            </w:r>
          </w:p>
        </w:tc>
        <w:tc>
          <w:tcPr>
            <w:tcW w:type="dxa" w:w="1128"/>
          </w:tcPr>
          <w:p>
            <w:r>
              <w:rPr>
                <w:rFonts w:ascii="Times New Roman" w:hAnsi="Times New Roman"/>
                <w:sz w:val="20"/>
              </w:rPr>
              <w:t>519.1</w:t>
            </w:r>
          </w:p>
        </w:tc>
        <w:tc>
          <w:tcPr>
            <w:tcW w:type="dxa" w:w="1128"/>
          </w:tcPr>
          <w:p>
            <w:r>
              <w:rPr>
                <w:rFonts w:ascii="Times New Roman" w:hAnsi="Times New Roman"/>
                <w:sz w:val="20"/>
              </w:rPr>
              <w:t>87.0</w:t>
            </w:r>
          </w:p>
        </w:tc>
        <w:tc>
          <w:tcPr>
            <w:tcW w:type="dxa" w:w="1128"/>
          </w:tcPr>
          <w:p>
            <w:r>
              <w:rPr>
                <w:rFonts w:ascii="Times New Roman" w:hAnsi="Times New Roman"/>
                <w:sz w:val="20"/>
              </w:rPr>
              <w:t>-</w:t>
            </w:r>
          </w:p>
        </w:tc>
      </w:tr>
      <w:tr>
        <w:tc>
          <w:tcPr>
            <w:tcW w:type="dxa" w:w="1128"/>
          </w:tcPr>
          <w:p>
            <w:r>
              <w:rPr>
                <w:rFonts w:ascii="Times New Roman" w:hAnsi="Times New Roman"/>
                <w:sz w:val="20"/>
              </w:rPr>
              <w:t>L003</w:t>
            </w:r>
          </w:p>
        </w:tc>
        <w:tc>
          <w:tcPr>
            <w:tcW w:type="dxa" w:w="1128"/>
          </w:tcPr>
          <w:p>
            <w:r>
              <w:rPr>
                <w:rFonts w:ascii="Times New Roman" w:hAnsi="Times New Roman"/>
                <w:sz w:val="20"/>
              </w:rPr>
              <w:t>307</w:t>
            </w:r>
          </w:p>
        </w:tc>
        <w:tc>
          <w:tcPr>
            <w:tcW w:type="dxa" w:w="1128"/>
          </w:tcPr>
          <w:p>
            <w:r>
              <w:rPr>
                <w:rFonts w:ascii="Times New Roman" w:hAnsi="Times New Roman"/>
                <w:sz w:val="20"/>
              </w:rPr>
              <w:t>61.4 (39.8)</w:t>
            </w:r>
          </w:p>
        </w:tc>
        <w:tc>
          <w:tcPr>
            <w:tcW w:type="dxa" w:w="1128"/>
          </w:tcPr>
          <w:p>
            <w:r>
              <w:rPr>
                <w:rFonts w:ascii="Times New Roman" w:hAnsi="Times New Roman"/>
                <w:sz w:val="20"/>
              </w:rPr>
              <w:t>53.5 (32.0-82.0)</w:t>
            </w:r>
          </w:p>
        </w:tc>
        <w:tc>
          <w:tcPr>
            <w:tcW w:type="dxa" w:w="1128"/>
          </w:tcPr>
          <w:p>
            <w:r>
              <w:rPr>
                <w:rFonts w:ascii="Times New Roman" w:hAnsi="Times New Roman"/>
                <w:sz w:val="20"/>
              </w:rPr>
              <w:t>0</w:t>
            </w:r>
          </w:p>
        </w:tc>
        <w:tc>
          <w:tcPr>
            <w:tcW w:type="dxa" w:w="1128"/>
          </w:tcPr>
          <w:p>
            <w:r>
              <w:rPr>
                <w:rFonts w:ascii="Times New Roman" w:hAnsi="Times New Roman"/>
                <w:sz w:val="20"/>
              </w:rPr>
              <w:t>224.7</w:t>
            </w:r>
          </w:p>
        </w:tc>
        <w:tc>
          <w:tcPr>
            <w:tcW w:type="dxa" w:w="1128"/>
          </w:tcPr>
          <w:p>
            <w:r>
              <w:rPr>
                <w:rFonts w:ascii="Times New Roman" w:hAnsi="Times New Roman"/>
                <w:sz w:val="20"/>
              </w:rPr>
              <w:t>64.9</w:t>
            </w:r>
          </w:p>
        </w:tc>
        <w:tc>
          <w:tcPr>
            <w:tcW w:type="dxa" w:w="1128"/>
          </w:tcPr>
          <w:p>
            <w:r>
              <w:rPr>
                <w:rFonts w:ascii="Times New Roman" w:hAnsi="Times New Roman"/>
                <w:sz w:val="20"/>
              </w:rPr>
              <w:t>-</w:t>
            </w:r>
          </w:p>
        </w:tc>
      </w:tr>
      <w:tr>
        <w:tc>
          <w:tcPr>
            <w:tcW w:type="dxa" w:w="1128"/>
          </w:tcPr>
          <w:p>
            <w:r>
              <w:rPr>
                <w:rFonts w:ascii="Times New Roman" w:hAnsi="Times New Roman"/>
                <w:sz w:val="20"/>
              </w:rPr>
              <w:t>L004</w:t>
            </w:r>
          </w:p>
        </w:tc>
        <w:tc>
          <w:tcPr>
            <w:tcW w:type="dxa" w:w="1128"/>
          </w:tcPr>
          <w:p>
            <w:r>
              <w:rPr>
                <w:rFonts w:ascii="Times New Roman" w:hAnsi="Times New Roman"/>
                <w:sz w:val="20"/>
              </w:rPr>
              <w:t>320</w:t>
            </w:r>
          </w:p>
        </w:tc>
        <w:tc>
          <w:tcPr>
            <w:tcW w:type="dxa" w:w="1128"/>
          </w:tcPr>
          <w:p>
            <w:r>
              <w:rPr>
                <w:rFonts w:ascii="Times New Roman" w:hAnsi="Times New Roman"/>
                <w:sz w:val="20"/>
              </w:rPr>
              <w:t>82.5 (46.8)</w:t>
            </w:r>
          </w:p>
        </w:tc>
        <w:tc>
          <w:tcPr>
            <w:tcW w:type="dxa" w:w="1128"/>
          </w:tcPr>
          <w:p>
            <w:r>
              <w:rPr>
                <w:rFonts w:ascii="Times New Roman" w:hAnsi="Times New Roman"/>
                <w:sz w:val="20"/>
              </w:rPr>
              <w:t>76.5 (49.5-108.5)</w:t>
            </w:r>
          </w:p>
        </w:tc>
        <w:tc>
          <w:tcPr>
            <w:tcW w:type="dxa" w:w="1128"/>
          </w:tcPr>
          <w:p>
            <w:r>
              <w:rPr>
                <w:rFonts w:ascii="Times New Roman" w:hAnsi="Times New Roman"/>
                <w:sz w:val="20"/>
              </w:rPr>
              <w:t>0</w:t>
            </w:r>
          </w:p>
        </w:tc>
        <w:tc>
          <w:tcPr>
            <w:tcW w:type="dxa" w:w="1128"/>
          </w:tcPr>
          <w:p>
            <w:r>
              <w:rPr>
                <w:rFonts w:ascii="Times New Roman" w:hAnsi="Times New Roman"/>
                <w:sz w:val="20"/>
              </w:rPr>
              <w:t>318.0</w:t>
            </w:r>
          </w:p>
        </w:tc>
        <w:tc>
          <w:tcPr>
            <w:tcW w:type="dxa" w:w="1128"/>
          </w:tcPr>
          <w:p>
            <w:r>
              <w:rPr>
                <w:rFonts w:ascii="Times New Roman" w:hAnsi="Times New Roman"/>
                <w:sz w:val="20"/>
              </w:rPr>
              <w:t>56.8</w:t>
            </w:r>
          </w:p>
        </w:tc>
        <w:tc>
          <w:tcPr>
            <w:tcW w:type="dxa" w:w="1128"/>
          </w:tcPr>
          <w:p>
            <w:r>
              <w:rPr>
                <w:rFonts w:ascii="Times New Roman" w:hAnsi="Times New Roman"/>
                <w:sz w:val="20"/>
              </w:rPr>
              <w:t>-</w:t>
            </w:r>
          </w:p>
        </w:tc>
      </w:tr>
      <w:tr>
        <w:tc>
          <w:tcPr>
            <w:tcW w:type="dxa" w:w="1128"/>
          </w:tcPr>
          <w:p>
            <w:r>
              <w:rPr>
                <w:rFonts w:ascii="Times New Roman" w:hAnsi="Times New Roman"/>
                <w:sz w:val="20"/>
              </w:rPr>
              <w:t>L009</w:t>
            </w:r>
          </w:p>
        </w:tc>
        <w:tc>
          <w:tcPr>
            <w:tcW w:type="dxa" w:w="1128"/>
          </w:tcPr>
          <w:p>
            <w:r>
              <w:rPr>
                <w:rFonts w:ascii="Times New Roman" w:hAnsi="Times New Roman"/>
                <w:sz w:val="20"/>
              </w:rPr>
              <w:t>330</w:t>
            </w:r>
          </w:p>
        </w:tc>
        <w:tc>
          <w:tcPr>
            <w:tcW w:type="dxa" w:w="1128"/>
          </w:tcPr>
          <w:p>
            <w:r>
              <w:rPr>
                <w:rFonts w:ascii="Times New Roman" w:hAnsi="Times New Roman"/>
                <w:sz w:val="20"/>
              </w:rPr>
              <w:t>78.3 (43.0)</w:t>
            </w:r>
          </w:p>
        </w:tc>
        <w:tc>
          <w:tcPr>
            <w:tcW w:type="dxa" w:w="1128"/>
          </w:tcPr>
          <w:p>
            <w:r>
              <w:rPr>
                <w:rFonts w:ascii="Times New Roman" w:hAnsi="Times New Roman"/>
                <w:sz w:val="20"/>
              </w:rPr>
              <w:t>71.0 (47.5-101.5)</w:t>
            </w:r>
          </w:p>
        </w:tc>
        <w:tc>
          <w:tcPr>
            <w:tcW w:type="dxa" w:w="1128"/>
          </w:tcPr>
          <w:p>
            <w:r>
              <w:rPr>
                <w:rFonts w:ascii="Times New Roman" w:hAnsi="Times New Roman"/>
                <w:sz w:val="20"/>
              </w:rPr>
              <w:t>0</w:t>
            </w:r>
          </w:p>
        </w:tc>
        <w:tc>
          <w:tcPr>
            <w:tcW w:type="dxa" w:w="1128"/>
          </w:tcPr>
          <w:p>
            <w:r>
              <w:rPr>
                <w:rFonts w:ascii="Times New Roman" w:hAnsi="Times New Roman"/>
                <w:sz w:val="20"/>
              </w:rPr>
              <w:t>230.0</w:t>
            </w:r>
          </w:p>
        </w:tc>
        <w:tc>
          <w:tcPr>
            <w:tcW w:type="dxa" w:w="1128"/>
          </w:tcPr>
          <w:p>
            <w:r>
              <w:rPr>
                <w:rFonts w:ascii="Times New Roman" w:hAnsi="Times New Roman"/>
                <w:sz w:val="20"/>
              </w:rPr>
              <w:t>55.0</w:t>
            </w:r>
          </w:p>
        </w:tc>
        <w:tc>
          <w:tcPr>
            <w:tcW w:type="dxa" w:w="1128"/>
          </w:tcPr>
          <w:p>
            <w:r>
              <w:rPr>
                <w:rFonts w:ascii="Times New Roman" w:hAnsi="Times New Roman"/>
                <w:sz w:val="20"/>
              </w:rPr>
              <w:t>-</w:t>
            </w:r>
          </w:p>
        </w:tc>
      </w:tr>
      <w:tr>
        <w:tc>
          <w:tcPr>
            <w:tcW w:type="dxa" w:w="1128"/>
          </w:tcPr>
          <w:p>
            <w:r>
              <w:rPr>
                <w:rFonts w:ascii="Times New Roman" w:hAnsi="Times New Roman"/>
                <w:sz w:val="20"/>
              </w:rPr>
              <w:t>L100</w:t>
            </w:r>
          </w:p>
        </w:tc>
        <w:tc>
          <w:tcPr>
            <w:tcW w:type="dxa" w:w="1128"/>
          </w:tcPr>
          <w:p>
            <w:r>
              <w:rPr>
                <w:rFonts w:ascii="Times New Roman" w:hAnsi="Times New Roman"/>
                <w:sz w:val="20"/>
              </w:rPr>
              <w:t>324</w:t>
            </w:r>
          </w:p>
        </w:tc>
        <w:tc>
          <w:tcPr>
            <w:tcW w:type="dxa" w:w="1128"/>
          </w:tcPr>
          <w:p>
            <w:r>
              <w:rPr>
                <w:rFonts w:ascii="Times New Roman" w:hAnsi="Times New Roman"/>
                <w:sz w:val="20"/>
              </w:rPr>
              <w:t>60.5 (35.7)</w:t>
            </w:r>
          </w:p>
        </w:tc>
        <w:tc>
          <w:tcPr>
            <w:tcW w:type="dxa" w:w="1128"/>
          </w:tcPr>
          <w:p>
            <w:r>
              <w:rPr>
                <w:rFonts w:ascii="Times New Roman" w:hAnsi="Times New Roman"/>
                <w:sz w:val="20"/>
              </w:rPr>
              <w:t>53.5 (35.5-78.0)</w:t>
            </w:r>
          </w:p>
        </w:tc>
        <w:tc>
          <w:tcPr>
            <w:tcW w:type="dxa" w:w="1128"/>
          </w:tcPr>
          <w:p>
            <w:r>
              <w:rPr>
                <w:rFonts w:ascii="Times New Roman" w:hAnsi="Times New Roman"/>
                <w:sz w:val="20"/>
              </w:rPr>
              <w:t>0</w:t>
            </w:r>
          </w:p>
        </w:tc>
        <w:tc>
          <w:tcPr>
            <w:tcW w:type="dxa" w:w="1128"/>
          </w:tcPr>
          <w:p>
            <w:r>
              <w:rPr>
                <w:rFonts w:ascii="Times New Roman" w:hAnsi="Times New Roman"/>
                <w:sz w:val="20"/>
              </w:rPr>
              <w:t>247.0</w:t>
            </w:r>
          </w:p>
        </w:tc>
        <w:tc>
          <w:tcPr>
            <w:tcW w:type="dxa" w:w="1128"/>
          </w:tcPr>
          <w:p>
            <w:r>
              <w:rPr>
                <w:rFonts w:ascii="Times New Roman" w:hAnsi="Times New Roman"/>
                <w:sz w:val="20"/>
              </w:rPr>
              <w:t>59.0</w:t>
            </w:r>
          </w:p>
        </w:tc>
        <w:tc>
          <w:tcPr>
            <w:tcW w:type="dxa" w:w="1128"/>
          </w:tcPr>
          <w:p>
            <w:r>
              <w:rPr>
                <w:rFonts w:ascii="Times New Roman" w:hAnsi="Times New Roman"/>
                <w:sz w:val="20"/>
              </w:rPr>
              <w:t>-</w:t>
            </w:r>
          </w:p>
        </w:tc>
      </w:tr>
    </w:tbl>
    <w:p>
      <w:pPr>
        <w:spacing w:after="0"/>
      </w:pPr>
    </w:p>
    <w:p>
      <w:r>
        <w:rPr>
          <w:rFonts w:ascii="Times New Roman" w:hAnsi="Times New Roman"/>
          <w:i/>
          <w:sz w:val="24"/>
        </w:rPr>
        <w:t>CV, coefficient of variation; IQR, interquartile range; SD, standard deviation. Range ratio (max / min) is reported only where the minimum is non-zero. Areas with low claim volume are masked by the data provider and appear as missing values; the n column reflects the number of secondary medical areas with non-missing values for each code.</w:t>
      </w:r>
    </w:p>
    <w:p>
      <w:r>
        <w:br w:type="page"/>
      </w:r>
    </w:p>
    <w:p>
      <w:r>
        <w:rPr>
          <w:rFonts w:ascii="Times New Roman" w:hAnsi="Times New Roman"/>
          <w:b/>
          <w:sz w:val="24"/>
        </w:rPr>
        <w:t>Table 3.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Code</w:t>
            </w:r>
          </w:p>
        </w:tc>
        <w:tc>
          <w:tcPr>
            <w:tcW w:type="dxa" w:w="1805"/>
          </w:tcPr>
          <w:p>
            <w:r>
              <w:rPr>
                <w:rFonts w:ascii="Times New Roman" w:hAnsi="Times New Roman"/>
                <w:b/>
                <w:sz w:val="20"/>
              </w:rPr>
              <w:t>Null model ICC</w:t>
            </w:r>
          </w:p>
        </w:tc>
        <w:tc>
          <w:tcPr>
            <w:tcW w:type="dxa" w:w="1805"/>
          </w:tcPr>
          <w:p>
            <w:r>
              <w:rPr>
                <w:rFonts w:ascii="Times New Roman" w:hAnsi="Times New Roman"/>
                <w:b/>
                <w:sz w:val="20"/>
              </w:rPr>
              <w:t>β university (95% CI)</w:t>
            </w:r>
          </w:p>
        </w:tc>
        <w:tc>
          <w:tcPr>
            <w:tcW w:type="dxa" w:w="1805"/>
          </w:tcPr>
          <w:p>
            <w:r>
              <w:rPr>
                <w:rFonts w:ascii="Times New Roman" w:hAnsi="Times New Roman"/>
                <w:b/>
                <w:sz w:val="20"/>
              </w:rPr>
              <w:t>P value</w:t>
            </w:r>
          </w:p>
        </w:tc>
        <w:tc>
          <w:tcPr>
            <w:tcW w:type="dxa" w:w="1805"/>
          </w:tcPr>
          <w:p>
            <w:r>
              <w:rPr>
                <w:rFonts w:ascii="Times New Roman" w:hAnsi="Times New Roman"/>
                <w:b/>
                <w:sz w:val="20"/>
              </w:rPr>
              <w:t>Marginal R²</w:t>
            </w:r>
          </w:p>
        </w:tc>
      </w:tr>
      <w:tr>
        <w:tc>
          <w:tcPr>
            <w:tcW w:type="dxa" w:w="1805"/>
          </w:tcPr>
          <w:p>
            <w:r>
              <w:rPr>
                <w:rFonts w:ascii="Times New Roman" w:hAnsi="Times New Roman"/>
                <w:sz w:val="20"/>
              </w:rPr>
              <w:t>L008</w:t>
            </w:r>
          </w:p>
        </w:tc>
        <w:tc>
          <w:tcPr>
            <w:tcW w:type="dxa" w:w="1805"/>
          </w:tcPr>
          <w:p>
            <w:r>
              <w:rPr>
                <w:rFonts w:ascii="Times New Roman" w:hAnsi="Times New Roman"/>
                <w:sz w:val="20"/>
              </w:rPr>
              <w:t>0.058</w:t>
            </w:r>
          </w:p>
        </w:tc>
        <w:tc>
          <w:tcPr>
            <w:tcW w:type="dxa" w:w="1805"/>
          </w:tcPr>
          <w:p>
            <w:r>
              <w:rPr>
                <w:rFonts w:ascii="Times New Roman" w:hAnsi="Times New Roman"/>
                <w:sz w:val="20"/>
              </w:rPr>
              <w:t>+64.1 (54.8 to 73.4)</w:t>
            </w:r>
          </w:p>
        </w:tc>
        <w:tc>
          <w:tcPr>
            <w:tcW w:type="dxa" w:w="1805"/>
          </w:tcPr>
          <w:p>
            <w:r>
              <w:rPr>
                <w:rFonts w:ascii="Times New Roman" w:hAnsi="Times New Roman"/>
                <w:sz w:val="20"/>
              </w:rPr>
              <w:t>&lt;0.001</w:t>
            </w:r>
          </w:p>
        </w:tc>
        <w:tc>
          <w:tcPr>
            <w:tcW w:type="dxa" w:w="1805"/>
          </w:tcPr>
          <w:p>
            <w:r>
              <w:rPr>
                <w:rFonts w:ascii="Times New Roman" w:hAnsi="Times New Roman"/>
                <w:sz w:val="20"/>
              </w:rPr>
              <w:t>0.358</w:t>
            </w:r>
          </w:p>
        </w:tc>
      </w:tr>
      <w:tr>
        <w:tc>
          <w:tcPr>
            <w:tcW w:type="dxa" w:w="1805"/>
          </w:tcPr>
          <w:p>
            <w:r>
              <w:rPr>
                <w:rFonts w:ascii="Times New Roman" w:hAnsi="Times New Roman"/>
                <w:sz w:val="20"/>
              </w:rPr>
              <w:t>L002</w:t>
            </w:r>
          </w:p>
        </w:tc>
        <w:tc>
          <w:tcPr>
            <w:tcW w:type="dxa" w:w="1805"/>
          </w:tcPr>
          <w:p>
            <w:r>
              <w:rPr>
                <w:rFonts w:ascii="Times New Roman" w:hAnsi="Times New Roman"/>
                <w:sz w:val="20"/>
              </w:rPr>
              <w:t>0.082</w:t>
            </w:r>
          </w:p>
        </w:tc>
        <w:tc>
          <w:tcPr>
            <w:tcW w:type="dxa" w:w="1805"/>
          </w:tcPr>
          <w:p>
            <w:r>
              <w:rPr>
                <w:rFonts w:ascii="Times New Roman" w:hAnsi="Times New Roman"/>
                <w:sz w:val="20"/>
              </w:rPr>
              <w:t>+49.0 (38.4 to 59.6)</w:t>
            </w:r>
          </w:p>
        </w:tc>
        <w:tc>
          <w:tcPr>
            <w:tcW w:type="dxa" w:w="1805"/>
          </w:tcPr>
          <w:p>
            <w:r>
              <w:rPr>
                <w:rFonts w:ascii="Times New Roman" w:hAnsi="Times New Roman"/>
                <w:sz w:val="20"/>
              </w:rPr>
              <w:t>&lt;0.001</w:t>
            </w:r>
          </w:p>
        </w:tc>
        <w:tc>
          <w:tcPr>
            <w:tcW w:type="dxa" w:w="1805"/>
          </w:tcPr>
          <w:p>
            <w:r>
              <w:rPr>
                <w:rFonts w:ascii="Times New Roman" w:hAnsi="Times New Roman"/>
                <w:sz w:val="20"/>
              </w:rPr>
              <w:t>0.205</w:t>
            </w:r>
          </w:p>
        </w:tc>
      </w:tr>
      <w:tr>
        <w:tc>
          <w:tcPr>
            <w:tcW w:type="dxa" w:w="1805"/>
          </w:tcPr>
          <w:p>
            <w:r>
              <w:rPr>
                <w:rFonts w:ascii="Times New Roman" w:hAnsi="Times New Roman"/>
                <w:sz w:val="20"/>
              </w:rPr>
              <w:t>L003</w:t>
            </w:r>
          </w:p>
        </w:tc>
        <w:tc>
          <w:tcPr>
            <w:tcW w:type="dxa" w:w="1805"/>
          </w:tcPr>
          <w:p>
            <w:r>
              <w:rPr>
                <w:rFonts w:ascii="Times New Roman" w:hAnsi="Times New Roman"/>
                <w:sz w:val="20"/>
              </w:rPr>
              <w:t>0.071</w:t>
            </w:r>
          </w:p>
        </w:tc>
        <w:tc>
          <w:tcPr>
            <w:tcW w:type="dxa" w:w="1805"/>
          </w:tcPr>
          <w:p>
            <w:r>
              <w:rPr>
                <w:rFonts w:ascii="Times New Roman" w:hAnsi="Times New Roman"/>
                <w:sz w:val="20"/>
              </w:rPr>
              <w:t>+55.8 (45.2 to 66.4)</w:t>
            </w:r>
          </w:p>
        </w:tc>
        <w:tc>
          <w:tcPr>
            <w:tcW w:type="dxa" w:w="1805"/>
          </w:tcPr>
          <w:p>
            <w:r>
              <w:rPr>
                <w:rFonts w:ascii="Times New Roman" w:hAnsi="Times New Roman"/>
                <w:sz w:val="20"/>
              </w:rPr>
              <w:t>&lt;0.001</w:t>
            </w:r>
          </w:p>
        </w:tc>
        <w:tc>
          <w:tcPr>
            <w:tcW w:type="dxa" w:w="1805"/>
          </w:tcPr>
          <w:p>
            <w:r>
              <w:rPr>
                <w:rFonts w:ascii="Times New Roman" w:hAnsi="Times New Roman"/>
                <w:sz w:val="20"/>
              </w:rPr>
              <w:t>0.245</w:t>
            </w:r>
          </w:p>
        </w:tc>
      </w:tr>
      <w:tr>
        <w:tc>
          <w:tcPr>
            <w:tcW w:type="dxa" w:w="1805"/>
          </w:tcPr>
          <w:p>
            <w:r>
              <w:rPr>
                <w:rFonts w:ascii="Times New Roman" w:hAnsi="Times New Roman"/>
                <w:sz w:val="20"/>
              </w:rPr>
              <w:t>L004</w:t>
            </w:r>
          </w:p>
        </w:tc>
        <w:tc>
          <w:tcPr>
            <w:tcW w:type="dxa" w:w="1805"/>
          </w:tcPr>
          <w:p>
            <w:r>
              <w:rPr>
                <w:rFonts w:ascii="Times New Roman" w:hAnsi="Times New Roman"/>
                <w:sz w:val="20"/>
              </w:rPr>
              <w:t>0.343</w:t>
            </w:r>
          </w:p>
        </w:tc>
        <w:tc>
          <w:tcPr>
            <w:tcW w:type="dxa" w:w="1805"/>
          </w:tcPr>
          <w:p>
            <w:r>
              <w:rPr>
                <w:rFonts w:ascii="Times New Roman" w:hAnsi="Times New Roman"/>
                <w:sz w:val="20"/>
              </w:rPr>
              <w:t>+23.0 (12.4 to 33.6)</w:t>
            </w:r>
          </w:p>
        </w:tc>
        <w:tc>
          <w:tcPr>
            <w:tcW w:type="dxa" w:w="1805"/>
          </w:tcPr>
          <w:p>
            <w:r>
              <w:rPr>
                <w:rFonts w:ascii="Times New Roman" w:hAnsi="Times New Roman"/>
                <w:sz w:val="20"/>
              </w:rPr>
              <w:t>&lt;0.001</w:t>
            </w:r>
          </w:p>
        </w:tc>
        <w:tc>
          <w:tcPr>
            <w:tcW w:type="dxa" w:w="1805"/>
          </w:tcPr>
          <w:p>
            <w:r>
              <w:rPr>
                <w:rFonts w:ascii="Times New Roman" w:hAnsi="Times New Roman"/>
                <w:sz w:val="20"/>
              </w:rPr>
              <w:t>0.045</w:t>
            </w:r>
          </w:p>
        </w:tc>
      </w:tr>
      <w:tr>
        <w:tc>
          <w:tcPr>
            <w:tcW w:type="dxa" w:w="1805"/>
          </w:tcPr>
          <w:p>
            <w:r>
              <w:rPr>
                <w:rFonts w:ascii="Times New Roman" w:hAnsi="Times New Roman"/>
                <w:sz w:val="20"/>
              </w:rPr>
              <w:t>L009</w:t>
            </w:r>
          </w:p>
        </w:tc>
        <w:tc>
          <w:tcPr>
            <w:tcW w:type="dxa" w:w="1805"/>
          </w:tcPr>
          <w:p>
            <w:r>
              <w:rPr>
                <w:rFonts w:ascii="Times New Roman" w:hAnsi="Times New Roman"/>
                <w:sz w:val="20"/>
              </w:rPr>
              <w:t>0.205</w:t>
            </w:r>
          </w:p>
        </w:tc>
        <w:tc>
          <w:tcPr>
            <w:tcW w:type="dxa" w:w="1805"/>
          </w:tcPr>
          <w:p>
            <w:r>
              <w:rPr>
                <w:rFonts w:ascii="Times New Roman" w:hAnsi="Times New Roman"/>
                <w:sz w:val="20"/>
              </w:rPr>
              <w:t>+47.6 (36.4 to 58.8)</w:t>
            </w:r>
          </w:p>
        </w:tc>
        <w:tc>
          <w:tcPr>
            <w:tcW w:type="dxa" w:w="1805"/>
          </w:tcPr>
          <w:p>
            <w:r>
              <w:rPr>
                <w:rFonts w:ascii="Times New Roman" w:hAnsi="Times New Roman"/>
                <w:sz w:val="20"/>
              </w:rPr>
              <w:t>&lt;0.001</w:t>
            </w:r>
          </w:p>
        </w:tc>
        <w:tc>
          <w:tcPr>
            <w:tcW w:type="dxa" w:w="1805"/>
          </w:tcPr>
          <w:p>
            <w:r>
              <w:rPr>
                <w:rFonts w:ascii="Times New Roman" w:hAnsi="Times New Roman"/>
                <w:sz w:val="20"/>
              </w:rPr>
              <w:t>0.180</w:t>
            </w:r>
          </w:p>
        </w:tc>
      </w:tr>
      <w:tr>
        <w:tc>
          <w:tcPr>
            <w:tcW w:type="dxa" w:w="1805"/>
          </w:tcPr>
          <w:p>
            <w:r>
              <w:rPr>
                <w:rFonts w:ascii="Times New Roman" w:hAnsi="Times New Roman"/>
                <w:sz w:val="20"/>
              </w:rPr>
              <w:t>L100</w:t>
            </w:r>
          </w:p>
        </w:tc>
        <w:tc>
          <w:tcPr>
            <w:tcW w:type="dxa" w:w="1805"/>
          </w:tcPr>
          <w:p>
            <w:r>
              <w:rPr>
                <w:rFonts w:ascii="Times New Roman" w:hAnsi="Times New Roman"/>
                <w:sz w:val="20"/>
              </w:rPr>
              <w:t>0.299</w:t>
            </w:r>
          </w:p>
        </w:tc>
        <w:tc>
          <w:tcPr>
            <w:tcW w:type="dxa" w:w="1805"/>
          </w:tcPr>
          <w:p>
            <w:r>
              <w:rPr>
                <w:rFonts w:ascii="Times New Roman" w:hAnsi="Times New Roman"/>
                <w:sz w:val="20"/>
              </w:rPr>
              <w:t>+18.4 (8.6 to 28.2)</w:t>
            </w:r>
          </w:p>
        </w:tc>
        <w:tc>
          <w:tcPr>
            <w:tcW w:type="dxa" w:w="1805"/>
          </w:tcPr>
          <w:p>
            <w:r>
              <w:rPr>
                <w:rFonts w:ascii="Times New Roman" w:hAnsi="Times New Roman"/>
                <w:sz w:val="20"/>
              </w:rPr>
              <w:t>&lt;0.001</w:t>
            </w:r>
          </w:p>
        </w:tc>
        <w:tc>
          <w:tcPr>
            <w:tcW w:type="dxa" w:w="1805"/>
          </w:tcPr>
          <w:p>
            <w:r>
              <w:rPr>
                <w:rFonts w:ascii="Times New Roman" w:hAnsi="Times New Roman"/>
                <w:sz w:val="20"/>
              </w:rPr>
              <w:t>0.038</w:t>
            </w:r>
          </w:p>
        </w:tc>
      </w:tr>
    </w:tbl>
    <w:p>
      <w:pPr>
        <w:spacing w:after="0"/>
      </w:pPr>
    </w:p>
    <w:p>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Marginal R², proportional reduction in total (prefecture + residual) variance from the null model after adding the university hospital fixed effect. Models were estimated by restricted maximum likelihood.</w:t>
      </w:r>
    </w:p>
    <w:p>
      <w:r>
        <w:br w:type="page"/>
      </w:r>
    </w:p>
    <w:p>
      <w:pPr>
        <w:spacing w:before="0" w:after="120"/>
      </w:pPr>
      <w:r>
        <w:rPr>
          <w:rFonts w:ascii="Times New Roman" w:hAnsi="Times New Roman"/>
          <w:b/>
          <w:sz w:val="26"/>
        </w:rPr>
        <w:t>FIGURE LEGENDS</w:t>
      </w:r>
    </w:p>
    <w:p>
      <w:r>
        <w:rPr>
          <w:rFonts w:ascii="Times New Roman" w:hAnsi="Times New Roman"/>
          <w:sz w:val="24"/>
        </w:rPr>
        <w:t>Figure 1. Geographic distribution of anaesthesia standardised claim ratios across 335 secondary medical areas of Japan, fiscal year 2022. (A) General anaesthesia (L008). (B) Spinal anaesthesia (L004). Choropleth maps shaded by quintile of the standardised claim ratio (national average = 100). Areas masked by the data provider owing to low volume are shown in grey.</w:t>
      </w:r>
    </w:p>
    <w:p>
      <w:pPr>
        <w:spacing w:after="0"/>
      </w:pPr>
    </w:p>
    <w:p>
      <w:r>
        <w:rPr>
          <w:rFonts w:ascii="Times New Roman" w:hAnsi="Times New Roman"/>
          <w:sz w:val="24"/>
        </w:rPr>
        <w:t>Figure 2. University hospital presence and the standardised claim ratio for general anaesthesia. (A) Distribution of secondary medical areas containing at least one university hospital (n = 64 of 335). (B) Within-prefecture comparison of mean general anaesthesia ratios between university and non-university areas across all 47 prefectures. The university effect is positive in all 47 of 47 prefectures (mean within-prefecture difference +63.3 points, paired t = 13.28, P &lt; 0.001).</w:t>
      </w:r>
    </w:p>
    <w:p>
      <w:r>
        <w:br w:type="page"/>
      </w:r>
    </w:p>
    <w:p>
      <w:pPr>
        <w:jc w:val="center"/>
      </w:pPr>
      <w:r>
        <w:rPr>
          <w:rFonts w:ascii="Times New Roman" w:hAnsi="Times New Roman"/>
          <w:b/>
          <w:sz w:val="24"/>
        </w:rPr>
        <w:t>Figure 1.</w:t>
      </w:r>
    </w:p>
    <w:p>
      <w:pPr>
        <w:jc w:val="center"/>
      </w:pPr>
      <w:r>
        <w:drawing>
          <wp:inline xmlns:a="http://schemas.openxmlformats.org/drawingml/2006/main" xmlns:pic="http://schemas.openxmlformats.org/drawingml/2006/picture">
            <wp:extent cx="5943600" cy="3285059"/>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943600" cy="3285059"/>
                    </a:xfrm>
                    <a:prstGeom prst="rect"/>
                  </pic:spPr>
                </pic:pic>
              </a:graphicData>
            </a:graphic>
          </wp:inline>
        </w:drawing>
      </w:r>
    </w:p>
    <w:p>
      <w:r>
        <w:br w:type="page"/>
      </w:r>
    </w:p>
    <w:p>
      <w:pPr>
        <w:jc w:val="center"/>
      </w:pPr>
      <w:r>
        <w:rPr>
          <w:rFonts w:ascii="Times New Roman" w:hAnsi="Times New Roman"/>
          <w:b/>
          <w:sz w:val="24"/>
        </w:rPr>
        <w:t>Figure 2.</w:t>
      </w:r>
    </w:p>
    <w:p>
      <w:pPr>
        <w:jc w:val="center"/>
      </w:pPr>
      <w:r>
        <w:drawing>
          <wp:inline xmlns:a="http://schemas.openxmlformats.org/drawingml/2006/main" xmlns:pic="http://schemas.openxmlformats.org/drawingml/2006/picture">
            <wp:extent cx="5943600" cy="3122663"/>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943600" cy="3122663"/>
                    </a:xfrm>
                    <a:prstGeom prst="rect"/>
                  </pic:spPr>
                </pic:pic>
              </a:graphicData>
            </a:graphic>
          </wp:inline>
        </w:drawing>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