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Supplementary material</w:t>
      </w:r>
    </w:p>
    <w:p>
      <w:pPr>
        <w:pStyle w:val="Heading2"/>
      </w:pPr>
      <w:r>
        <w:rPr>
          <w:rFonts w:ascii="Times New Roman" w:hAnsi="Times New Roman"/>
          <w:color w:val="000000"/>
        </w:rPr>
        <w:t>Supplementary Note 1. Detailed statistical methods</w:t>
      </w:r>
    </w:p>
    <w:p>
      <w:pPr>
        <w:spacing w:line="480" w:lineRule="auto" w:after="120"/>
      </w:pPr>
      <w:r>
        <w:rPr>
          <w:rFonts w:ascii="Times New Roman" w:hAnsi="Times New Roman"/>
          <w:b w:val="0"/>
          <w:i w:val="0"/>
          <w:sz w:val="24"/>
        </w:rPr>
        <w:t>This note records the full model specification, equivalence-testing rationale, and power diagnostics summarised in the main text. It also describes the heterogeneity and trend-robustness checks reported in Supplementary Table 9.</w:t>
      </w:r>
    </w:p>
    <w:p>
      <w:pPr>
        <w:spacing w:line="480" w:lineRule="auto" w:after="120"/>
      </w:pPr>
      <w:r>
        <w:rPr>
          <w:rFonts w:ascii="Times New Roman" w:hAnsi="Times New Roman"/>
          <w:b w:val="0"/>
          <w:i w:val="0"/>
          <w:sz w:val="24"/>
        </w:rPr>
        <w:t>Primary estimating equation. Let s index specialty, t index the biennial wave, and Y be the count of physicians or hospitals. The baseline model is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b w:val="0"/>
          <w:i w:val="0"/>
          <w:sz w:val="24"/>
        </w:rPr>
        <w:t>where alpha_s are specialty fixed effects, delta_t are wave fixed effects, litrate is closed malpractice claims per 1,000 physicians, and JOCS-CP is an obstetrics-and-gynaecology-specific indicator from 2009 onward. Standard errors are clustered by specialty and inference uses a t-distribution with G-1 degrees of freedom, where G=12.</w:t>
      </w:r>
    </w:p>
    <w:p>
      <w:pPr>
        <w:spacing w:line="480" w:lineRule="auto" w:after="120"/>
      </w:pPr>
      <w:r>
        <w:rPr>
          <w:rFonts w:ascii="Times New Roman" w:hAnsi="Times New Roman"/>
          <w:b w:val="0"/>
          <w:i w:val="0"/>
          <w:sz w:val="24"/>
        </w:rPr>
        <w:t>Equivalence testing. Two one-sided tests (TOST) evaluate whether the per-SD litigation-rate coefficient beta lies inside a pre-specified symmetric margin m. The null hypotheses are</w:t>
      </w:r>
    </w:p>
    <w:p>
      <w:pPr>
        <w:jc w:val="center"/>
      </w:pPr>
      <m:oMath xmlns:mml="http://www.w3.org/1998/Math/MathML">
        <m:sSub>
          <m:e>
            <m:r>
              <m:t>H</m:t>
            </m:r>
          </m:e>
          <m:sub>
            <m:r>
              <m:t>0</m:t>
            </m:r>
          </m:sub>
        </m:sSub>
        <m:r>
          <m:t>:β≤−m</m:t>
        </m:r>
        <m:r>
          <m:rPr>
            <m:nor/>
          </m:rPr>
          <m:t>and</m:t>
        </m:r>
        <m:sSub>
          <m:e>
            <m:r>
              <m:t>H</m:t>
            </m:r>
          </m:e>
          <m:sub>
            <m:r>
              <m:t>0</m:t>
            </m:r>
          </m:sub>
        </m:sSub>
        <m:r>
          <m:t>:β≥+m</m:t>
        </m:r>
      </m:oMath>
    </w:p>
    <w:p>
      <w:pPr>
        <w:spacing w:line="480" w:lineRule="auto" w:after="120"/>
      </w:pPr>
      <w:r>
        <w:rPr>
          <w:rFonts w:ascii="Times New Roman" w:hAnsi="Times New Roman"/>
          <w:b w:val="0"/>
          <w:i w:val="0"/>
          <w:sz w:val="24"/>
        </w:rPr>
        <w:t>Equivalence is declared when both one-sided tests yield p &lt; 0.05. Margins of 1% and 2% biennial workforce change were chosen because they are smaller than typical policy targets for specialty rebalancing.</w:t>
      </w:r>
    </w:p>
    <w:p>
      <w:pPr>
        <w:spacing w:line="480" w:lineRule="auto" w:after="120"/>
      </w:pPr>
      <w:r>
        <w:rPr>
          <w:rFonts w:ascii="Times New Roman" w:hAnsi="Times New Roman"/>
          <w:b w:val="0"/>
          <w:i w:val="0"/>
          <w:sz w:val="24"/>
        </w:rPr>
        <w:t>Power diagnostics. The minimum detectable effect (MDE) at 80% power for the per-SD coefficient is (t(0.975, df) + t(0.80, df)) x SE. The power to declare equivalence within margin m when the true effect is zero is 2 x F_t(m / SE) - 1, where F_t is the cumulative distribution function of the t(df) distribution. These quantities make the limited information in a 12-cluster panel explicit.</w:t>
      </w:r>
    </w:p>
    <w:p>
      <w:pPr>
        <w:spacing w:line="480" w:lineRule="auto" w:after="120"/>
      </w:pPr>
      <w:r>
        <w:rPr>
          <w:rFonts w:ascii="Times New Roman" w:hAnsi="Times New Roman"/>
          <w:b w:val="0"/>
          <w:i w:val="0"/>
          <w:sz w:val="24"/>
        </w:rPr>
        <w:t>Heterogeneity and trend robustness. To test whether the association differed by baseline litigation risk or surgical orientation, the model was augmented with an interaction between litrate and a binary group indicator:</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m:t>
        </m:r>
        <m:sSub>
          <m:e>
            <m:r>
              <m:t>δ</m:t>
            </m:r>
          </m:e>
          <m:sub>
            <m:r>
              <m:t>g</m:t>
            </m:r>
          </m:sub>
        </m:sSub>
        <m:r>
          <m:t>·(</m:t>
        </m:r>
        <m:sSub>
          <m:e>
            <m:r>
              <m:rPr>
                <m:nor/>
              </m:rPr>
              <m:t>litrate</m:t>
            </m:r>
          </m:e>
          <m:sub>
            <m:r>
              <m:t>s,t−1</m:t>
            </m:r>
          </m:sub>
        </m:sSub>
        <m:r>
          <m:t>×</m:t>
        </m:r>
        <m:sSub>
          <m:e>
            <m:r>
              <m:rPr>
                <m:nor/>
              </m:rPr>
              <m:t>Group</m:t>
            </m:r>
          </m:e>
          <m:sub>
            <m:r>
              <m:t>s</m:t>
            </m:r>
          </m:sub>
        </m:sSub>
        <m:r>
          <m:t>)+</m:t>
        </m:r>
        <m:sSub>
          <m:e>
            <m:r>
              <m:t>ϵ</m:t>
            </m:r>
          </m:e>
          <m:sub>
            <m:r>
              <m:t>st</m:t>
            </m:r>
          </m:sub>
        </m:sSub>
      </m:oMath>
    </w:p>
    <w:p>
      <w:pPr>
        <w:spacing w:line="480" w:lineRule="auto" w:after="120"/>
      </w:pPr>
      <w:r>
        <w:rPr>
          <w:rFonts w:ascii="Times New Roman" w:hAnsi="Times New Roman"/>
          <w:b w:val="0"/>
          <w:i w:val="0"/>
          <w:sz w:val="24"/>
        </w:rPr>
        <w:t>Group_s is either high-litigation (above the median specialty mean lagged litigation rate) or surgical (surgery, orthopaedics, obstetrics and gynaecology, urology). The main effect of Group is absorbed by the specialty fixed effects and is omitted. A separate robustness check added specialty-specific linear trends, C(specialty) x year, to the baseline specification.</w:t>
      </w:r>
    </w:p>
    <w:p>
      <w:pPr>
        <w:spacing w:line="480" w:lineRule="auto" w:after="120"/>
      </w:pPr>
      <w:r>
        <w:rPr>
          <w:rFonts w:ascii="Times New Roman" w:hAnsi="Times New Roman"/>
          <w:b w:val="0"/>
          <w:i w:val="0"/>
          <w:sz w:val="24"/>
        </w:rPr>
        <w:t>Supplementary Figure 1. Sensitivity-analysis framework for evaluating malpractice-litigation risk as a healthcare workforce-allocation lever.</w:t>
      </w:r>
    </w:p>
    <w:p>
      <w:pPr>
        <w:jc w:val="center"/>
      </w:pPr>
      <w:r>
        <w:drawing>
          <wp:inline xmlns:a="http://schemas.openxmlformats.org/drawingml/2006/main" xmlns:pic="http://schemas.openxmlformats.org/drawingml/2006/picture">
            <wp:extent cx="5303520" cy="5892800"/>
            <wp:docPr id="1" name="Picture 1"/>
            <wp:cNvGraphicFramePr>
              <a:graphicFrameLocks noChangeAspect="1"/>
            </wp:cNvGraphicFramePr>
            <a:graphic>
              <a:graphicData uri="http://schemas.openxmlformats.org/drawingml/2006/picture">
                <pic:pic>
                  <pic:nvPicPr>
                    <pic:cNvPr id="0" name="ha_Supplementary_Figure_1.png"/>
                    <pic:cNvPicPr/>
                  </pic:nvPicPr>
                  <pic:blipFill>
                    <a:blip r:embed="rId9"/>
                    <a:stretch>
                      <a:fillRect/>
                    </a:stretch>
                  </pic:blipFill>
                  <pic:spPr>
                    <a:xfrm>
                      <a:off x="0" y="0"/>
                      <a:ext cx="5303520" cy="5892800"/>
                    </a:xfrm>
                    <a:prstGeom prst="rect"/>
                  </pic:spPr>
                </pic:pic>
              </a:graphicData>
            </a:graphic>
          </wp:inline>
        </w:drawing>
      </w:r>
    </w:p>
    <w:p/>
    <w:p>
      <w:pPr>
        <w:spacing w:line="480" w:lineRule="auto" w:after="120"/>
      </w:pPr>
      <w:r>
        <w:rPr>
          <w:rFonts w:ascii="Times New Roman" w:hAnsi="Times New Roman"/>
          <w:b w:val="0"/>
          <w:i w:val="0"/>
          <w:sz w:val="24"/>
        </w:rPr>
        <w:t>Supplementary Figure 2. Closed malpractice claims per 1,000 physicians by specialty, 2008–2024 (rates, not counts).</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ha_Supplementary_Figure_2.png"/>
                    <pic:cNvPicPr/>
                  </pic:nvPicPr>
                  <pic:blipFill>
                    <a:blip r:embed="rId10"/>
                    <a:stretch>
                      <a:fillRect/>
                    </a:stretch>
                  </pic:blipFill>
                  <pic:spPr>
                    <a:xfrm>
                      <a:off x="0" y="0"/>
                      <a:ext cx="5303520" cy="3535680"/>
                    </a:xfrm>
                    <a:prstGeom prst="rect"/>
                  </pic:spPr>
                </pic:pic>
              </a:graphicData>
            </a:graphic>
          </wp:inline>
        </w:drawing>
      </w:r>
    </w:p>
    <w:p/>
    <w:p>
      <w:pPr>
        <w:spacing w:line="480" w:lineRule="auto" w:after="120"/>
      </w:pPr>
      <w:r>
        <w:rPr>
          <w:rFonts w:ascii="Times New Roman" w:hAnsi="Times New Roman"/>
          <w:b w:val="0"/>
          <w:i w:val="0"/>
          <w:sz w:val="24"/>
        </w:rPr>
        <w:t>Supplementary Figure 3. Physician workforce by specialty, indexed to 2008 (=100).</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ha_Supplementary_Figure_3.png"/>
                    <pic:cNvPicPr/>
                  </pic:nvPicPr>
                  <pic:blipFill>
                    <a:blip r:embed="rId11"/>
                    <a:stretch>
                      <a:fillRect/>
                    </a:stretch>
                  </pic:blipFill>
                  <pic:spPr>
                    <a:xfrm>
                      <a:off x="0" y="0"/>
                      <a:ext cx="5303520" cy="3535680"/>
                    </a:xfrm>
                    <a:prstGeom prst="rect"/>
                  </pic:spPr>
                </pic:pic>
              </a:graphicData>
            </a:graphic>
          </wp:inline>
        </w:drawing>
      </w:r>
    </w:p>
    <w:p/>
    <w:p>
      <w:pPr>
        <w:spacing w:before="280" w:after="120"/>
      </w:pPr>
      <w:r>
        <w:rPr>
          <w:rFonts w:ascii="Times New Roman" w:hAnsi="Times New Roman"/>
          <w:b/>
          <w:sz w:val="20"/>
        </w:rPr>
        <w:t>Supplementary Table 1. Primary data sources and their resolution.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Series</w:t>
            </w:r>
          </w:p>
        </w:tc>
        <w:tc>
          <w:tcPr>
            <w:tcW w:type="dxa" w:w="1872"/>
          </w:tcPr>
          <w:p>
            <w:pPr>
              <w:jc w:val="center"/>
            </w:pPr>
            <w:r>
              <w:rPr>
                <w:rFonts w:ascii="Times New Roman" w:hAnsi="Times New Roman"/>
                <w:b/>
                <w:sz w:val="18"/>
              </w:rPr>
              <w:t>Source</w:t>
            </w:r>
          </w:p>
        </w:tc>
        <w:tc>
          <w:tcPr>
            <w:tcW w:type="dxa" w:w="1872"/>
          </w:tcPr>
          <w:p>
            <w:pPr>
              <w:jc w:val="center"/>
            </w:pPr>
            <w:r>
              <w:rPr>
                <w:rFonts w:ascii="Times New Roman" w:hAnsi="Times New Roman"/>
                <w:b/>
                <w:sz w:val="18"/>
              </w:rPr>
              <w:t>Resolution</w:t>
            </w:r>
          </w:p>
        </w:tc>
        <w:tc>
          <w:tcPr>
            <w:tcW w:type="dxa" w:w="1872"/>
          </w:tcPr>
          <w:p>
            <w:pPr>
              <w:jc w:val="center"/>
            </w:pPr>
            <w:r>
              <w:rPr>
                <w:rFonts w:ascii="Times New Roman" w:hAnsi="Times New Roman"/>
                <w:b/>
                <w:sz w:val="18"/>
              </w:rPr>
              <w:t>Years</w:t>
            </w:r>
          </w:p>
        </w:tc>
        <w:tc>
          <w:tcPr>
            <w:tcW w:type="dxa" w:w="1872"/>
          </w:tcPr>
          <w:p>
            <w:pPr>
              <w:jc w:val="center"/>
            </w:pPr>
            <w:r>
              <w:rPr>
                <w:rFonts w:ascii="Times New Roman" w:hAnsi="Times New Roman"/>
                <w:b/>
                <w:sz w:val="18"/>
              </w:rPr>
              <w:t>Role</w:t>
            </w:r>
          </w:p>
        </w:tc>
      </w:tr>
      <w:tr>
        <w:tc>
          <w:tcPr>
            <w:tcW w:type="dxa" w:w="1872"/>
          </w:tcPr>
          <w:p>
            <w:r>
              <w:rPr>
                <w:rFonts w:ascii="Times New Roman" w:hAnsi="Times New Roman"/>
                <w:sz w:val="18"/>
              </w:rPr>
              <w:t>Physicians by specialty</w:t>
            </w:r>
          </w:p>
        </w:tc>
        <w:tc>
          <w:tcPr>
            <w:tcW w:type="dxa" w:w="1872"/>
          </w:tcPr>
          <w:p>
            <w:pPr>
              <w:jc w:val="center"/>
            </w:pPr>
            <w:r>
              <w:rPr>
                <w:rFonts w:ascii="Times New Roman" w:hAnsi="Times New Roman"/>
                <w:sz w:val="18"/>
              </w:rPr>
              <w:t>MHLW Statistics of Physicians</w:t>
            </w:r>
          </w:p>
        </w:tc>
        <w:tc>
          <w:tcPr>
            <w:tcW w:type="dxa" w:w="1872"/>
          </w:tcPr>
          <w:p>
            <w:pPr>
              <w:jc w:val="center"/>
            </w:pPr>
            <w:r>
              <w:rPr>
                <w:rFonts w:ascii="Times New Roman" w:hAnsi="Times New Roman"/>
                <w:sz w:val="18"/>
              </w:rPr>
              <w:t>Biennial</w:t>
            </w:r>
          </w:p>
        </w:tc>
        <w:tc>
          <w:tcPr>
            <w:tcW w:type="dxa" w:w="1872"/>
          </w:tcPr>
          <w:p>
            <w:pPr>
              <w:jc w:val="center"/>
            </w:pPr>
            <w:r>
              <w:rPr>
                <w:rFonts w:ascii="Times New Roman" w:hAnsi="Times New Roman"/>
                <w:sz w:val="18"/>
              </w:rPr>
              <w:t>2004–2024</w:t>
            </w:r>
          </w:p>
        </w:tc>
        <w:tc>
          <w:tcPr>
            <w:tcW w:type="dxa" w:w="1872"/>
          </w:tcPr>
          <w:p>
            <w:pPr>
              <w:jc w:val="center"/>
            </w:pPr>
            <w:r>
              <w:rPr>
                <w:rFonts w:ascii="Times New Roman" w:hAnsi="Times New Roman"/>
                <w:sz w:val="18"/>
              </w:rPr>
              <w:t>Denominator &amp; outcome</w:t>
            </w:r>
          </w:p>
        </w:tc>
      </w:tr>
      <w:tr>
        <w:tc>
          <w:tcPr>
            <w:tcW w:type="dxa" w:w="1872"/>
          </w:tcPr>
          <w:p>
            <w:r>
              <w:rPr>
                <w:rFonts w:ascii="Times New Roman" w:hAnsi="Times New Roman"/>
                <w:sz w:val="18"/>
              </w:rPr>
              <w:t>Closed malpractice claims</w:t>
            </w:r>
          </w:p>
        </w:tc>
        <w:tc>
          <w:tcPr>
            <w:tcW w:type="dxa" w:w="1872"/>
          </w:tcPr>
          <w:p>
            <w:pPr>
              <w:jc w:val="center"/>
            </w:pPr>
            <w:r>
              <w:rPr>
                <w:rFonts w:ascii="Times New Roman" w:hAnsi="Times New Roman"/>
                <w:sz w:val="18"/>
              </w:rPr>
              <w:t>Supreme Court, by specialty</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Exposure (numerator)</w:t>
            </w:r>
          </w:p>
        </w:tc>
      </w:tr>
      <w:tr>
        <w:tc>
          <w:tcPr>
            <w:tcW w:type="dxa" w:w="1872"/>
          </w:tcPr>
          <w:p>
            <w:r>
              <w:rPr>
                <w:rFonts w:ascii="Times New Roman" w:hAnsi="Times New Roman"/>
                <w:sz w:val="18"/>
              </w:rPr>
              <w:t>Hospitals by specialty</w:t>
            </w:r>
          </w:p>
        </w:tc>
        <w:tc>
          <w:tcPr>
            <w:tcW w:type="dxa" w:w="1872"/>
          </w:tcPr>
          <w:p>
            <w:pPr>
              <w:jc w:val="center"/>
            </w:pPr>
            <w:r>
              <w:rPr>
                <w:rFonts w:ascii="Times New Roman" w:hAnsi="Times New Roman"/>
                <w:sz w:val="18"/>
              </w:rPr>
              <w:t>MHLW Survey of Medical Institutions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Outcome</w:t>
            </w:r>
          </w:p>
        </w:tc>
      </w:tr>
      <w:tr>
        <w:tc>
          <w:tcPr>
            <w:tcW w:type="dxa" w:w="1872"/>
          </w:tcPr>
          <w:p>
            <w:r>
              <w:rPr>
                <w:rFonts w:ascii="Times New Roman" w:hAnsi="Times New Roman"/>
                <w:sz w:val="18"/>
              </w:rPr>
              <w:t>Clinics by specialty</w:t>
            </w:r>
          </w:p>
        </w:tc>
        <w:tc>
          <w:tcPr>
            <w:tcW w:type="dxa" w:w="1872"/>
          </w:tcPr>
          <w:p>
            <w:pPr>
              <w:jc w:val="center"/>
            </w:pPr>
            <w:r>
              <w:rPr>
                <w:rFonts w:ascii="Times New Roman" w:hAnsi="Times New Roman"/>
                <w:sz w:val="18"/>
              </w:rPr>
              <w:t>MHLW Survey (static)</w:t>
            </w:r>
          </w:p>
        </w:tc>
        <w:tc>
          <w:tcPr>
            <w:tcW w:type="dxa" w:w="1872"/>
          </w:tcPr>
          <w:p>
            <w:pPr>
              <w:jc w:val="center"/>
            </w:pPr>
            <w:r>
              <w:rPr>
                <w:rFonts w:ascii="Times New Roman" w:hAnsi="Times New Roman"/>
                <w:sz w:val="18"/>
              </w:rPr>
              <w:t>Every 3 years</w:t>
            </w:r>
          </w:p>
        </w:tc>
        <w:tc>
          <w:tcPr>
            <w:tcW w:type="dxa" w:w="1872"/>
          </w:tcPr>
          <w:p>
            <w:pPr>
              <w:jc w:val="center"/>
            </w:pPr>
            <w:r>
              <w:rPr>
                <w:rFonts w:ascii="Times New Roman" w:hAnsi="Times New Roman"/>
                <w:sz w:val="18"/>
              </w:rPr>
              <w:t>2008–2023</w:t>
            </w:r>
          </w:p>
        </w:tc>
        <w:tc>
          <w:tcPr>
            <w:tcW w:type="dxa" w:w="1872"/>
          </w:tcPr>
          <w:p>
            <w:pPr>
              <w:jc w:val="center"/>
            </w:pPr>
            <w:r>
              <w:rPr>
                <w:rFonts w:ascii="Times New Roman" w:hAnsi="Times New Roman"/>
                <w:sz w:val="18"/>
              </w:rPr>
              <w:t>Descriptive only</w:t>
            </w:r>
          </w:p>
        </w:tc>
      </w:tr>
      <w:tr>
        <w:tc>
          <w:tcPr>
            <w:tcW w:type="dxa" w:w="1872"/>
          </w:tcPr>
          <w:p>
            <w:r>
              <w:rPr>
                <w:rFonts w:ascii="Times New Roman" w:hAnsi="Times New Roman"/>
                <w:sz w:val="18"/>
              </w:rPr>
              <w:t>JMSR report counts</w:t>
            </w:r>
          </w:p>
        </w:tc>
        <w:tc>
          <w:tcPr>
            <w:tcW w:type="dxa" w:w="1872"/>
          </w:tcPr>
          <w:p>
            <w:pPr>
              <w:jc w:val="center"/>
            </w:pPr>
            <w:r>
              <w:rPr>
                <w:rFonts w:ascii="Times New Roman" w:hAnsi="Times New Roman"/>
                <w:sz w:val="18"/>
              </w:rPr>
              <w:t>JMSR / MAIS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2015–2024</w:t>
            </w:r>
          </w:p>
        </w:tc>
        <w:tc>
          <w:tcPr>
            <w:tcW w:type="dxa" w:w="1872"/>
          </w:tcPr>
          <w:p>
            <w:pPr>
              <w:jc w:val="center"/>
            </w:pPr>
            <w:r>
              <w:rPr>
                <w:rFonts w:ascii="Times New Roman" w:hAnsi="Times New Roman"/>
                <w:sz w:val="18"/>
              </w:rPr>
              <w:t>Sensitivity (2016-2024)</w:t>
            </w:r>
          </w:p>
        </w:tc>
      </w:tr>
      <w:tr>
        <w:tc>
          <w:tcPr>
            <w:tcW w:type="dxa" w:w="1872"/>
          </w:tcPr>
          <w:p>
            <w:r>
              <w:rPr>
                <w:rFonts w:ascii="Times New Roman" w:hAnsi="Times New Roman"/>
                <w:sz w:val="18"/>
              </w:rPr>
              <w:t>Newspaper article counts</w:t>
            </w:r>
          </w:p>
        </w:tc>
        <w:tc>
          <w:tcPr>
            <w:tcW w:type="dxa" w:w="1872"/>
          </w:tcPr>
          <w:p>
            <w:pPr>
              <w:jc w:val="center"/>
            </w:pPr>
            <w:r>
              <w:rPr>
                <w:rFonts w:ascii="Times New Roman" w:hAnsi="Times New Roman"/>
                <w:sz w:val="18"/>
              </w:rPr>
              <w:t>Nikkei Telecom 21</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2008–2018</w:t>
            </w:r>
          </w:p>
        </w:tc>
        <w:tc>
          <w:tcPr>
            <w:tcW w:type="dxa" w:w="1872"/>
          </w:tcPr>
          <w:p>
            <w:pPr>
              <w:jc w:val="center"/>
            </w:pPr>
            <w:r>
              <w:rPr>
                <w:rFonts w:ascii="Times New Roman" w:hAnsi="Times New Roman"/>
                <w:sz w:val="18"/>
              </w:rPr>
              <w:t>Sensitivity (2009-2018)</w:t>
            </w:r>
          </w:p>
        </w:tc>
      </w:tr>
    </w:tbl>
    <w:p/>
    <w:p>
      <w:pPr>
        <w:spacing w:before="280" w:after="120"/>
      </w:pPr>
      <w:r>
        <w:rPr>
          <w:rFonts w:ascii="Times New Roman" w:hAnsi="Times New Roman"/>
          <w:b/>
          <w:sz w:val="20"/>
        </w:rPr>
        <w:t>Supplementary Table 2. Equivalence (TOST) results (effect per +1 SD litigation rate).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Coef per SD</w:t>
            </w:r>
          </w:p>
        </w:tc>
        <w:tc>
          <w:tcPr>
            <w:tcW w:type="dxa" w:w="1560"/>
          </w:tcPr>
          <w:p>
            <w:pPr>
              <w:jc w:val="center"/>
            </w:pPr>
            <w:r>
              <w:rPr>
                <w:rFonts w:ascii="Times New Roman" w:hAnsi="Times New Roman"/>
                <w:b/>
                <w:sz w:val="18"/>
              </w:rPr>
              <w:t>90% CI</w:t>
            </w:r>
          </w:p>
        </w:tc>
        <w:tc>
          <w:tcPr>
            <w:tcW w:type="dxa" w:w="1560"/>
          </w:tcPr>
          <w:p>
            <w:pPr>
              <w:jc w:val="center"/>
            </w:pPr>
            <w:r>
              <w:rPr>
                <w:rFonts w:ascii="Times New Roman" w:hAnsi="Times New Roman"/>
                <w:b/>
                <w:sz w:val="18"/>
              </w:rPr>
              <w:t>Margin</w:t>
            </w:r>
          </w:p>
        </w:tc>
        <w:tc>
          <w:tcPr>
            <w:tcW w:type="dxa" w:w="1560"/>
          </w:tcPr>
          <w:p>
            <w:pPr>
              <w:jc w:val="center"/>
            </w:pPr>
            <w:r>
              <w:rPr>
                <w:rFonts w:ascii="Times New Roman" w:hAnsi="Times New Roman"/>
                <w:b/>
                <w:sz w:val="18"/>
              </w:rPr>
              <w:t>TOST p</w:t>
            </w:r>
          </w:p>
        </w:tc>
        <w:tc>
          <w:tcPr>
            <w:tcW w:type="dxa" w:w="1560"/>
          </w:tcPr>
          <w:p>
            <w:pPr>
              <w:jc w:val="center"/>
            </w:pPr>
            <w:r>
              <w:rPr>
                <w:rFonts w:ascii="Times New Roman" w:hAnsi="Times New Roman"/>
                <w:b/>
                <w:sz w:val="18"/>
              </w:rPr>
              <w:t>Equivalent</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0.023</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&lt;0.001</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0.059</w:t>
            </w:r>
          </w:p>
        </w:tc>
        <w:tc>
          <w:tcPr>
            <w:tcW w:type="dxa" w:w="1560"/>
          </w:tcPr>
          <w:p>
            <w:pPr>
              <w:jc w:val="center"/>
            </w:pPr>
            <w:r>
              <w:rPr>
                <w:rFonts w:ascii="Times New Roman" w:hAnsi="Times New Roman"/>
                <w:sz w:val="18"/>
              </w:rPr>
              <w:t>No</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0.002</w:t>
            </w:r>
          </w:p>
        </w:tc>
        <w:tc>
          <w:tcPr>
            <w:tcW w:type="dxa" w:w="1560"/>
          </w:tcPr>
          <w:p>
            <w:pPr>
              <w:jc w:val="center"/>
            </w:pPr>
            <w:r>
              <w:rPr>
                <w:rFonts w:ascii="Times New Roman" w:hAnsi="Times New Roman"/>
                <w:sz w:val="18"/>
              </w:rPr>
              <w:t>Yes</w:t>
            </w:r>
          </w:p>
        </w:tc>
      </w:tr>
    </w:tbl>
    <w:p/>
    <w:p>
      <w:pPr>
        <w:spacing w:before="280" w:after="120"/>
      </w:pPr>
      <w:r>
        <w:rPr>
          <w:rFonts w:ascii="Times New Roman" w:hAnsi="Times New Roman"/>
          <w:b/>
          <w:sz w:val="20"/>
        </w:rPr>
        <w:t>Supplementary Table 3. JMSR-adjusted annual hospital growth model (2016-2024) with both exposures entered simultaneously.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+0.0021</w:t>
            </w:r>
          </w:p>
        </w:tc>
        <w:tc>
          <w:tcPr>
            <w:tcW w:type="dxa" w:w="2340"/>
          </w:tcPr>
          <w:p>
            <w:pPr>
              <w:jc w:val="center"/>
            </w:pPr>
            <w:r>
              <w:rPr>
                <w:rFonts w:ascii="Times New Roman" w:hAnsi="Times New Roman"/>
                <w:sz w:val="18"/>
              </w:rPr>
              <w:t>0.28</w:t>
            </w:r>
          </w:p>
        </w:tc>
        <w:tc>
          <w:tcPr>
            <w:tcW w:type="dxa" w:w="2340"/>
          </w:tcPr>
          <w:p>
            <w:pPr>
              <w:jc w:val="center"/>
            </w:pPr>
            <w:r>
              <w:rPr>
                <w:rFonts w:ascii="Times New Roman" w:hAnsi="Times New Roman"/>
                <w:sz w:val="18"/>
              </w:rPr>
              <w:t>108</w:t>
            </w:r>
          </w:p>
        </w:tc>
      </w:tr>
      <w:tr>
        <w:tc>
          <w:tcPr>
            <w:tcW w:type="dxa" w:w="2340"/>
          </w:tcPr>
          <w:p>
            <w:r>
              <w:rPr>
                <w:rFonts w:ascii="Times New Roman" w:hAnsi="Times New Roman"/>
                <w:sz w:val="18"/>
              </w:rPr>
              <w:t>Lagged JMSR report rate</w:t>
            </w:r>
          </w:p>
        </w:tc>
        <w:tc>
          <w:tcPr>
            <w:tcW w:type="dxa" w:w="2340"/>
          </w:tcPr>
          <w:p>
            <w:pPr>
              <w:jc w:val="center"/>
            </w:pPr>
            <w:r>
              <w:rPr>
                <w:rFonts w:ascii="Times New Roman" w:hAnsi="Times New Roman"/>
                <w:sz w:val="18"/>
              </w:rPr>
              <w:t>-0.0009</w:t>
            </w:r>
          </w:p>
        </w:tc>
        <w:tc>
          <w:tcPr>
            <w:tcW w:type="dxa" w:w="2340"/>
          </w:tcPr>
          <w:p>
            <w:pPr>
              <w:jc w:val="center"/>
            </w:pPr>
            <w:r>
              <w:rPr>
                <w:rFonts w:ascii="Times New Roman" w:hAnsi="Times New Roman"/>
                <w:sz w:val="18"/>
              </w:rPr>
              <w:t>0.66</w:t>
            </w:r>
          </w:p>
        </w:tc>
        <w:tc>
          <w:tcPr>
            <w:tcW w:type="dxa" w:w="2340"/>
          </w:tcPr>
          <w:p>
            <w:pPr>
              <w:jc w:val="center"/>
            </w:pPr>
            <w:r>
              <w:rPr>
                <w:rFonts w:ascii="Times New Roman" w:hAnsi="Times New Roman"/>
                <w:sz w:val="18"/>
              </w:rPr>
              <w:t>108</w:t>
            </w:r>
          </w:p>
        </w:tc>
      </w:tr>
    </w:tbl>
    <w:p/>
    <w:p>
      <w:pPr>
        <w:spacing w:before="280" w:after="120"/>
      </w:pPr>
      <w:r>
        <w:rPr>
          <w:rFonts w:ascii="Times New Roman" w:hAnsi="Times New Roman"/>
          <w:b/>
          <w:sz w:val="20"/>
        </w:rPr>
        <w:t>Supplementary Table 4. Media-adjusted annual hospital growth model (2009-2018) with a linear time trend; full year fixed effects are omitted because the national article-count series is collinear with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-0.0003</w:t>
            </w:r>
          </w:p>
        </w:tc>
        <w:tc>
          <w:tcPr>
            <w:tcW w:type="dxa" w:w="2340"/>
          </w:tcPr>
          <w:p>
            <w:pPr>
              <w:jc w:val="center"/>
            </w:pPr>
            <w:r>
              <w:rPr>
                <w:rFonts w:ascii="Times New Roman" w:hAnsi="Times New Roman"/>
                <w:sz w:val="18"/>
              </w:rPr>
              <w:t>0.72</w:t>
            </w:r>
          </w:p>
        </w:tc>
        <w:tc>
          <w:tcPr>
            <w:tcW w:type="dxa" w:w="2340"/>
          </w:tcPr>
          <w:p>
            <w:pPr>
              <w:jc w:val="center"/>
            </w:pPr>
            <w:r>
              <w:rPr>
                <w:rFonts w:ascii="Times New Roman" w:hAnsi="Times New Roman"/>
                <w:sz w:val="18"/>
              </w:rPr>
              <w:t>120</w:t>
            </w:r>
          </w:p>
        </w:tc>
      </w:tr>
      <w:tr>
        <w:tc>
          <w:tcPr>
            <w:tcW w:type="dxa" w:w="2340"/>
          </w:tcPr>
          <w:p>
            <w:r>
              <w:rPr>
                <w:rFonts w:ascii="Times New Roman" w:hAnsi="Times New Roman"/>
                <w:sz w:val="18"/>
              </w:rPr>
              <w:t>Lagged media count (per 1,000 articles)</w:t>
            </w:r>
          </w:p>
        </w:tc>
        <w:tc>
          <w:tcPr>
            <w:tcW w:type="dxa" w:w="2340"/>
          </w:tcPr>
          <w:p>
            <w:pPr>
              <w:jc w:val="center"/>
            </w:pPr>
            <w:r>
              <w:rPr>
                <w:rFonts w:ascii="Times New Roman" w:hAnsi="Times New Roman"/>
                <w:sz w:val="18"/>
              </w:rPr>
              <w:t>-0.0014</w:t>
            </w:r>
          </w:p>
        </w:tc>
        <w:tc>
          <w:tcPr>
            <w:tcW w:type="dxa" w:w="2340"/>
          </w:tcPr>
          <w:p>
            <w:pPr>
              <w:jc w:val="center"/>
            </w:pPr>
            <w:r>
              <w:rPr>
                <w:rFonts w:ascii="Times New Roman" w:hAnsi="Times New Roman"/>
                <w:sz w:val="18"/>
              </w:rPr>
              <w:t>0.21</w:t>
            </w:r>
          </w:p>
        </w:tc>
        <w:tc>
          <w:tcPr>
            <w:tcW w:type="dxa" w:w="2340"/>
          </w:tcPr>
          <w:p>
            <w:pPr>
              <w:jc w:val="center"/>
            </w:pPr>
            <w:r>
              <w:rPr>
                <w:rFonts w:ascii="Times New Roman" w:hAnsi="Times New Roman"/>
                <w:sz w:val="18"/>
              </w:rPr>
              <w:t>120</w:t>
            </w:r>
          </w:p>
        </w:tc>
      </w:tr>
    </w:tbl>
    <w:p/>
    <w:p>
      <w:pPr>
        <w:spacing w:before="280" w:after="120"/>
      </w:pPr>
      <w:r>
        <w:rPr>
          <w:rFonts w:ascii="Times New Roman" w:hAnsi="Times New Roman"/>
          <w:b/>
          <w:sz w:val="20"/>
        </w:rPr>
        <w:t>Supplementary Table 5. Holm step-down adjusted p-values for the exploratory sensitivity tests and the JOCS-CP indicator.</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Test</w:t>
            </w:r>
          </w:p>
        </w:tc>
        <w:tc>
          <w:tcPr>
            <w:tcW w:type="dxa" w:w="3120"/>
          </w:tcPr>
          <w:p>
            <w:pPr>
              <w:jc w:val="center"/>
            </w:pPr>
            <w:r>
              <w:rPr>
                <w:rFonts w:ascii="Times New Roman" w:hAnsi="Times New Roman"/>
                <w:b/>
                <w:sz w:val="18"/>
              </w:rPr>
              <w:t>Raw p</w:t>
            </w:r>
          </w:p>
        </w:tc>
        <w:tc>
          <w:tcPr>
            <w:tcW w:type="dxa" w:w="3120"/>
          </w:tcPr>
          <w:p>
            <w:pPr>
              <w:jc w:val="center"/>
            </w:pPr>
            <w:r>
              <w:rPr>
                <w:rFonts w:ascii="Times New Roman" w:hAnsi="Times New Roman"/>
                <w:b/>
                <w:sz w:val="18"/>
              </w:rPr>
              <w:t>Holm-adjusted p</w:t>
            </w:r>
          </w:p>
        </w:tc>
      </w:tr>
      <w:tr>
        <w:tc>
          <w:tcPr>
            <w:tcW w:type="dxa" w:w="3120"/>
          </w:tcPr>
          <w:p>
            <w:r>
              <w:rPr>
                <w:rFonts w:ascii="Times New Roman" w:hAnsi="Times New Roman"/>
                <w:sz w:val="18"/>
              </w:rPr>
              <w:t>Biennial physician growth ~ lagged litigation rate (JOCS-CP indicator)</w:t>
            </w:r>
          </w:p>
        </w:tc>
        <w:tc>
          <w:tcPr>
            <w:tcW w:type="dxa" w:w="3120"/>
          </w:tcPr>
          <w:p>
            <w:pPr>
              <w:jc w:val="center"/>
            </w:pPr>
            <w:r>
              <w:rPr>
                <w:rFonts w:ascii="Times New Roman" w:hAnsi="Times New Roman"/>
                <w:sz w:val="18"/>
              </w:rPr>
              <w:t>0.249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Biennial hospital growth ~ lagged litigation rate (JOCS-CP indicator)</w:t>
            </w:r>
          </w:p>
        </w:tc>
        <w:tc>
          <w:tcPr>
            <w:tcW w:type="dxa" w:w="3120"/>
          </w:tcPr>
          <w:p>
            <w:pPr>
              <w:jc w:val="center"/>
            </w:pPr>
            <w:r>
              <w:rPr>
                <w:rFonts w:ascii="Times New Roman" w:hAnsi="Times New Roman"/>
                <w:sz w:val="18"/>
              </w:rPr>
              <w:t>0.013</w:t>
            </w:r>
          </w:p>
        </w:tc>
        <w:tc>
          <w:tcPr>
            <w:tcW w:type="dxa" w:w="3120"/>
          </w:tcPr>
          <w:p>
            <w:pPr>
              <w:jc w:val="center"/>
            </w:pPr>
            <w:r>
              <w:rPr>
                <w:rFonts w:ascii="Times New Roman" w:hAnsi="Times New Roman"/>
                <w:sz w:val="18"/>
              </w:rPr>
              <w:t>0.250</w:t>
            </w:r>
          </w:p>
        </w:tc>
      </w:tr>
      <w:tr>
        <w:tc>
          <w:tcPr>
            <w:tcW w:type="dxa" w:w="3120"/>
          </w:tcPr>
          <w:p>
            <w:r>
              <w:rPr>
                <w:rFonts w:ascii="Times New Roman" w:hAnsi="Times New Roman"/>
                <w:sz w:val="18"/>
              </w:rPr>
              <w:t>COUNTS contrast: physician growth ~ lagged litigation COUNT</w:t>
            </w:r>
          </w:p>
        </w:tc>
        <w:tc>
          <w:tcPr>
            <w:tcW w:type="dxa" w:w="3120"/>
          </w:tcPr>
          <w:p>
            <w:pPr>
              <w:jc w:val="center"/>
            </w:pPr>
            <w:r>
              <w:rPr>
                <w:rFonts w:ascii="Times New Roman" w:hAnsi="Times New Roman"/>
                <w:sz w:val="18"/>
              </w:rPr>
              <w:t>0.506</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Annual hospital growth ~ lagged litigation rate (2008-2024)</w:t>
            </w:r>
          </w:p>
        </w:tc>
        <w:tc>
          <w:tcPr>
            <w:tcW w:type="dxa" w:w="3120"/>
          </w:tcPr>
          <w:p>
            <w:pPr>
              <w:jc w:val="center"/>
            </w:pPr>
            <w:r>
              <w:rPr>
                <w:rFonts w:ascii="Times New Roman" w:hAnsi="Times New Roman"/>
                <w:sz w:val="18"/>
              </w:rPr>
              <w:t>0.994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SENSITIVITY interpolated-annual physician growth ~ lag rate</w:t>
            </w:r>
          </w:p>
        </w:tc>
        <w:tc>
          <w:tcPr>
            <w:tcW w:type="dxa" w:w="3120"/>
          </w:tcPr>
          <w:p>
            <w:pPr>
              <w:jc w:val="center"/>
            </w:pPr>
            <w:r>
              <w:rPr>
                <w:rFonts w:ascii="Times New Roman" w:hAnsi="Times New Roman"/>
                <w:sz w:val="18"/>
              </w:rPr>
              <w:t>0.389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(litigation rate)</w:t>
            </w:r>
          </w:p>
        </w:tc>
        <w:tc>
          <w:tcPr>
            <w:tcW w:type="dxa" w:w="3120"/>
          </w:tcPr>
          <w:p>
            <w:pPr>
              <w:jc w:val="center"/>
            </w:pPr>
            <w:r>
              <w:rPr>
                <w:rFonts w:ascii="Times New Roman" w:hAnsi="Times New Roman"/>
                <w:sz w:val="18"/>
              </w:rPr>
              <w:t>0.283</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(JMSR report rate)</w:t>
            </w:r>
          </w:p>
        </w:tc>
        <w:tc>
          <w:tcPr>
            <w:tcW w:type="dxa" w:w="3120"/>
          </w:tcPr>
          <w:p>
            <w:pPr>
              <w:jc w:val="center"/>
            </w:pPr>
            <w:r>
              <w:rPr>
                <w:rFonts w:ascii="Times New Roman" w:hAnsi="Times New Roman"/>
                <w:sz w:val="18"/>
              </w:rPr>
              <w:t>0.664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(litigation rate)</w:t>
            </w:r>
          </w:p>
        </w:tc>
        <w:tc>
          <w:tcPr>
            <w:tcW w:type="dxa" w:w="3120"/>
          </w:tcPr>
          <w:p>
            <w:pPr>
              <w:jc w:val="center"/>
            </w:pPr>
            <w:r>
              <w:rPr>
                <w:rFonts w:ascii="Times New Roman" w:hAnsi="Times New Roman"/>
                <w:sz w:val="18"/>
              </w:rPr>
              <w:t>0.718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(media count)</w:t>
            </w:r>
          </w:p>
        </w:tc>
        <w:tc>
          <w:tcPr>
            <w:tcW w:type="dxa" w:w="3120"/>
          </w:tcPr>
          <w:p>
            <w:pPr>
              <w:jc w:val="center"/>
            </w:pPr>
            <w:r>
              <w:rPr>
                <w:rFonts w:ascii="Times New Roman" w:hAnsi="Times New Roman"/>
                <w:sz w:val="18"/>
              </w:rPr>
              <w:t>0.209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(main effect)</w:t>
            </w:r>
          </w:p>
        </w:tc>
        <w:tc>
          <w:tcPr>
            <w:tcW w:type="dxa" w:w="3120"/>
          </w:tcPr>
          <w:p>
            <w:pPr>
              <w:jc w:val="center"/>
            </w:pPr>
            <w:r>
              <w:rPr>
                <w:rFonts w:ascii="Times New Roman" w:hAnsi="Times New Roman"/>
                <w:sz w:val="18"/>
              </w:rPr>
              <w:t>0.269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(interaction)</w:t>
            </w:r>
          </w:p>
        </w:tc>
        <w:tc>
          <w:tcPr>
            <w:tcW w:type="dxa" w:w="3120"/>
          </w:tcPr>
          <w:p>
            <w:pPr>
              <w:jc w:val="center"/>
            </w:pPr>
            <w:r>
              <w:rPr>
                <w:rFonts w:ascii="Times New Roman" w:hAnsi="Times New Roman"/>
                <w:sz w:val="18"/>
              </w:rPr>
              <w:t>0.240</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(main effect)</w:t>
            </w:r>
          </w:p>
        </w:tc>
        <w:tc>
          <w:tcPr>
            <w:tcW w:type="dxa" w:w="3120"/>
          </w:tcPr>
          <w:p>
            <w:pPr>
              <w:jc w:val="center"/>
            </w:pPr>
            <w:r>
              <w:rPr>
                <w:rFonts w:ascii="Times New Roman" w:hAnsi="Times New Roman"/>
                <w:sz w:val="18"/>
              </w:rPr>
              <w:t>0.239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(interaction)</w:t>
            </w:r>
          </w:p>
        </w:tc>
        <w:tc>
          <w:tcPr>
            <w:tcW w:type="dxa" w:w="3120"/>
          </w:tcPr>
          <w:p>
            <w:pPr>
              <w:jc w:val="center"/>
            </w:pPr>
            <w:r>
              <w:rPr>
                <w:rFonts w:ascii="Times New Roman" w:hAnsi="Times New Roman"/>
                <w:sz w:val="18"/>
              </w:rPr>
              <w:t>0.391</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(main effect)</w:t>
            </w:r>
          </w:p>
        </w:tc>
        <w:tc>
          <w:tcPr>
            <w:tcW w:type="dxa" w:w="3120"/>
          </w:tcPr>
          <w:p>
            <w:pPr>
              <w:jc w:val="center"/>
            </w:pPr>
            <w:r>
              <w:rPr>
                <w:rFonts w:ascii="Times New Roman" w:hAnsi="Times New Roman"/>
                <w:sz w:val="18"/>
              </w:rPr>
              <w:t>0.988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(interaction)</w:t>
            </w:r>
          </w:p>
        </w:tc>
        <w:tc>
          <w:tcPr>
            <w:tcW w:type="dxa" w:w="3120"/>
          </w:tcPr>
          <w:p>
            <w:pPr>
              <w:jc w:val="center"/>
            </w:pPr>
            <w:r>
              <w:rPr>
                <w:rFonts w:ascii="Times New Roman" w:hAnsi="Times New Roman"/>
                <w:sz w:val="18"/>
              </w:rPr>
              <w:t>0.928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(main effect)</w:t>
            </w:r>
          </w:p>
        </w:tc>
        <w:tc>
          <w:tcPr>
            <w:tcW w:type="dxa" w:w="3120"/>
          </w:tcPr>
          <w:p>
            <w:pPr>
              <w:jc w:val="center"/>
            </w:pPr>
            <w:r>
              <w:rPr>
                <w:rFonts w:ascii="Times New Roman" w:hAnsi="Times New Roman"/>
                <w:sz w:val="18"/>
              </w:rPr>
              <w:t>0.124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(interaction)</w:t>
            </w:r>
          </w:p>
        </w:tc>
        <w:tc>
          <w:tcPr>
            <w:tcW w:type="dxa" w:w="3120"/>
          </w:tcPr>
          <w:p>
            <w:pPr>
              <w:jc w:val="center"/>
            </w:pPr>
            <w:r>
              <w:rPr>
                <w:rFonts w:ascii="Times New Roman" w:hAnsi="Times New Roman"/>
                <w:sz w:val="18"/>
              </w:rPr>
              <w:t>0.064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physician growth ~ lagged litigation rate + specialty trends</w:t>
            </w:r>
          </w:p>
        </w:tc>
        <w:tc>
          <w:tcPr>
            <w:tcW w:type="dxa" w:w="3120"/>
          </w:tcPr>
          <w:p>
            <w:pPr>
              <w:jc w:val="center"/>
            </w:pPr>
            <w:r>
              <w:rPr>
                <w:rFonts w:ascii="Times New Roman" w:hAnsi="Times New Roman"/>
                <w:sz w:val="18"/>
              </w:rPr>
              <w:t>0.728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hospital growth ~ lagged litigation rate + specialty trends</w:t>
            </w:r>
          </w:p>
        </w:tc>
        <w:tc>
          <w:tcPr>
            <w:tcW w:type="dxa" w:w="3120"/>
          </w:tcPr>
          <w:p>
            <w:pPr>
              <w:jc w:val="center"/>
            </w:pPr>
            <w:r>
              <w:rPr>
                <w:rFonts w:ascii="Times New Roman" w:hAnsi="Times New Roman"/>
                <w:sz w:val="18"/>
              </w:rPr>
              <w:t>0.114</w:t>
            </w:r>
          </w:p>
        </w:tc>
        <w:tc>
          <w:tcPr>
            <w:tcW w:type="dxa" w:w="3120"/>
          </w:tcPr>
          <w:p>
            <w:pPr>
              <w:jc w:val="center"/>
            </w:pPr>
            <w:r>
              <w:rPr>
                <w:rFonts w:ascii="Times New Roman" w:hAnsi="Times New Roman"/>
                <w:sz w:val="18"/>
              </w:rPr>
              <w:t>1.000</w:t>
            </w:r>
          </w:p>
        </w:tc>
      </w:tr>
    </w:tbl>
    <w:p/>
    <w:p>
      <w:pPr>
        <w:spacing w:before="280" w:after="120"/>
      </w:pPr>
      <w:r>
        <w:rPr>
          <w:rFonts w:ascii="Times New Roman" w:hAnsi="Times New Roman"/>
          <w:b/>
          <w:sz w:val="20"/>
        </w:rPr>
        <w:t>Supplementary Table 6. Cluster block-bootstrap p-values, percentile 95% confidence intervals, equivalence power (if true effect is zero), and minimum detectable effect per 1-SD litigation-rate increase.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Bootstrap p</w:t>
            </w:r>
          </w:p>
        </w:tc>
        <w:tc>
          <w:tcPr>
            <w:tcW w:type="dxa" w:w="1560"/>
          </w:tcPr>
          <w:p>
            <w:pPr>
              <w:jc w:val="center"/>
            </w:pPr>
            <w:r>
              <w:rPr>
                <w:rFonts w:ascii="Times New Roman" w:hAnsi="Times New Roman"/>
                <w:b/>
                <w:sz w:val="18"/>
              </w:rPr>
              <w:t>Bootstrap 95% CI</w:t>
            </w:r>
          </w:p>
        </w:tc>
        <w:tc>
          <w:tcPr>
            <w:tcW w:type="dxa" w:w="1560"/>
          </w:tcPr>
          <w:p>
            <w:pPr>
              <w:jc w:val="center"/>
            </w:pPr>
            <w:r>
              <w:rPr>
                <w:rFonts w:ascii="Times New Roman" w:hAnsi="Times New Roman"/>
                <w:b/>
                <w:sz w:val="18"/>
              </w:rPr>
              <w:t>Equivalence margin</w:t>
            </w:r>
          </w:p>
        </w:tc>
        <w:tc>
          <w:tcPr>
            <w:tcW w:type="dxa" w:w="1560"/>
          </w:tcPr>
          <w:p>
            <w:pPr>
              <w:jc w:val="center"/>
            </w:pPr>
            <w:r>
              <w:rPr>
                <w:rFonts w:ascii="Times New Roman" w:hAnsi="Times New Roman"/>
                <w:b/>
                <w:sz w:val="18"/>
              </w:rPr>
              <w:t>Power if true null</w:t>
            </w:r>
          </w:p>
        </w:tc>
        <w:tc>
          <w:tcPr>
            <w:tcW w:type="dxa" w:w="1560"/>
          </w:tcPr>
          <w:p>
            <w:pPr>
              <w:jc w:val="center"/>
            </w:pPr>
            <w:r>
              <w:rPr>
                <w:rFonts w:ascii="Times New Roman" w:hAnsi="Times New Roman"/>
                <w:b/>
                <w:sz w:val="18"/>
              </w:rPr>
              <w:t>MDE (80% power)</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98.4%</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100.0%</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90.4%</w:t>
            </w:r>
          </w:p>
        </w:tc>
        <w:tc>
          <w:tcPr>
            <w:tcW w:type="dxa" w:w="1560"/>
          </w:tcPr>
          <w:p>
            <w:pPr>
              <w:jc w:val="center"/>
            </w:pPr>
            <w:r>
              <w:rPr>
                <w:rFonts w:ascii="Times New Roman" w:hAnsi="Times New Roman"/>
                <w:sz w:val="18"/>
              </w:rPr>
              <w:t>1.69%</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99.6%</w:t>
            </w:r>
          </w:p>
        </w:tc>
        <w:tc>
          <w:tcPr>
            <w:tcW w:type="dxa" w:w="1560"/>
          </w:tcPr>
          <w:p>
            <w:pPr>
              <w:jc w:val="center"/>
            </w:pPr>
            <w:r>
              <w:rPr>
                <w:rFonts w:ascii="Times New Roman" w:hAnsi="Times New Roman"/>
                <w:sz w:val="18"/>
              </w:rPr>
              <w:t>1.69%</w:t>
            </w:r>
          </w:p>
        </w:tc>
      </w:tr>
    </w:tbl>
    <w:p/>
    <w:p>
      <w:pPr>
        <w:spacing w:before="280" w:after="120"/>
      </w:pPr>
      <w:r>
        <w:rPr>
          <w:rFonts w:ascii="Times New Roman" w:hAnsi="Times New Roman"/>
          <w:b/>
          <w:sz w:val="20"/>
        </w:rPr>
        <w:t>Supplementary Table 7. Counterfactual 2034 physician counts by specialty and policy lever. Counts are projected from observed biennial baseline drift plus the indicated effect; marginal percentage changes are shown in Figure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2024 count</w:t>
            </w:r>
          </w:p>
        </w:tc>
        <w:tc>
          <w:tcPr>
            <w:tcW w:type="dxa" w:w="1560"/>
          </w:tcPr>
          <w:p>
            <w:pPr>
              <w:jc w:val="center"/>
            </w:pPr>
            <w:r>
              <w:rPr>
                <w:rFonts w:ascii="Times New Roman" w:hAnsi="Times New Roman"/>
                <w:b/>
                <w:sz w:val="18"/>
              </w:rPr>
              <w:t>Baseline 2034</w:t>
            </w:r>
          </w:p>
        </w:tc>
        <w:tc>
          <w:tcPr>
            <w:tcW w:type="dxa" w:w="1560"/>
          </w:tcPr>
          <w:p>
            <w:pPr>
              <w:jc w:val="center"/>
            </w:pPr>
            <w:r>
              <w:rPr>
                <w:rFonts w:ascii="Times New Roman" w:hAnsi="Times New Roman"/>
                <w:b/>
                <w:sz w:val="18"/>
              </w:rPr>
              <w:t>Litigation zero (point)</w:t>
            </w:r>
          </w:p>
        </w:tc>
        <w:tc>
          <w:tcPr>
            <w:tcW w:type="dxa" w:w="1560"/>
          </w:tcPr>
          <w:p>
            <w:pPr>
              <w:jc w:val="center"/>
            </w:pPr>
            <w:r>
              <w:rPr>
                <w:rFonts w:ascii="Times New Roman" w:hAnsi="Times New Roman"/>
                <w:b/>
                <w:sz w:val="18"/>
              </w:rPr>
              <w:t>Litigation zero (95% lower)</w:t>
            </w:r>
          </w:p>
        </w:tc>
        <w:tc>
          <w:tcPr>
            <w:tcW w:type="dxa" w:w="1560"/>
          </w:tcPr>
          <w:p>
            <w:pPr>
              <w:jc w:val="center"/>
            </w:pPr>
            <w:r>
              <w:rPr>
                <w:rFonts w:ascii="Times New Roman" w:hAnsi="Times New Roman"/>
                <w:b/>
                <w:sz w:val="18"/>
              </w:rPr>
              <w:t>MDE benchmark</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124,010</w:t>
            </w:r>
          </w:p>
        </w:tc>
        <w:tc>
          <w:tcPr>
            <w:tcW w:type="dxa" w:w="1560"/>
          </w:tcPr>
          <w:p>
            <w:pPr>
              <w:jc w:val="center"/>
            </w:pPr>
            <w:r>
              <w:rPr>
                <w:rFonts w:ascii="Times New Roman" w:hAnsi="Times New Roman"/>
                <w:sz w:val="18"/>
              </w:rPr>
              <w:t>136,909</w:t>
            </w:r>
          </w:p>
        </w:tc>
        <w:tc>
          <w:tcPr>
            <w:tcW w:type="dxa" w:w="1560"/>
          </w:tcPr>
          <w:p>
            <w:pPr>
              <w:jc w:val="center"/>
            </w:pPr>
            <w:r>
              <w:rPr>
                <w:rFonts w:ascii="Times New Roman" w:hAnsi="Times New Roman"/>
                <w:sz w:val="18"/>
              </w:rPr>
              <w:t>138,010</w:t>
            </w:r>
          </w:p>
        </w:tc>
        <w:tc>
          <w:tcPr>
            <w:tcW w:type="dxa" w:w="1560"/>
          </w:tcPr>
          <w:p>
            <w:pPr>
              <w:jc w:val="center"/>
            </w:pPr>
            <w:r>
              <w:rPr>
                <w:rFonts w:ascii="Times New Roman" w:hAnsi="Times New Roman"/>
                <w:sz w:val="18"/>
              </w:rPr>
              <w:t>142,075</w:t>
            </w:r>
          </w:p>
        </w:tc>
        <w:tc>
          <w:tcPr>
            <w:tcW w:type="dxa" w:w="1560"/>
          </w:tcPr>
          <w:p>
            <w:pPr>
              <w:jc w:val="center"/>
            </w:pPr>
            <w:r>
              <w:rPr>
                <w:rFonts w:ascii="Times New Roman" w:hAnsi="Times New Roman"/>
                <w:sz w:val="18"/>
              </w:rPr>
              <w:t>144,492</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26,885</w:t>
            </w:r>
          </w:p>
        </w:tc>
        <w:tc>
          <w:tcPr>
            <w:tcW w:type="dxa" w:w="1560"/>
          </w:tcPr>
          <w:p>
            <w:pPr>
              <w:jc w:val="center"/>
            </w:pPr>
            <w:r>
              <w:rPr>
                <w:rFonts w:ascii="Times New Roman" w:hAnsi="Times New Roman"/>
                <w:sz w:val="18"/>
              </w:rPr>
              <w:t>26,299</w:t>
            </w:r>
          </w:p>
        </w:tc>
        <w:tc>
          <w:tcPr>
            <w:tcW w:type="dxa" w:w="1560"/>
          </w:tcPr>
          <w:p>
            <w:pPr>
              <w:jc w:val="center"/>
            </w:pPr>
            <w:r>
              <w:rPr>
                <w:rFonts w:ascii="Times New Roman" w:hAnsi="Times New Roman"/>
                <w:sz w:val="18"/>
              </w:rPr>
              <w:t>26,853</w:t>
            </w:r>
          </w:p>
        </w:tc>
        <w:tc>
          <w:tcPr>
            <w:tcW w:type="dxa" w:w="1560"/>
          </w:tcPr>
          <w:p>
            <w:pPr>
              <w:jc w:val="center"/>
            </w:pPr>
            <w:r>
              <w:rPr>
                <w:rFonts w:ascii="Times New Roman" w:hAnsi="Times New Roman"/>
                <w:sz w:val="18"/>
              </w:rPr>
              <w:t>28,960</w:t>
            </w:r>
          </w:p>
        </w:tc>
        <w:tc>
          <w:tcPr>
            <w:tcW w:type="dxa" w:w="1560"/>
          </w:tcPr>
          <w:p>
            <w:pPr>
              <w:jc w:val="center"/>
            </w:pPr>
            <w:r>
              <w:rPr>
                <w:rFonts w:ascii="Times New Roman" w:hAnsi="Times New Roman"/>
                <w:sz w:val="18"/>
              </w:rPr>
              <w:t>27,755</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22,630</w:t>
            </w:r>
          </w:p>
        </w:tc>
        <w:tc>
          <w:tcPr>
            <w:tcW w:type="dxa" w:w="1560"/>
          </w:tcPr>
          <w:p>
            <w:pPr>
              <w:jc w:val="center"/>
            </w:pPr>
            <w:r>
              <w:rPr>
                <w:rFonts w:ascii="Times New Roman" w:hAnsi="Times New Roman"/>
                <w:sz w:val="18"/>
              </w:rPr>
              <w:t>24,848</w:t>
            </w:r>
          </w:p>
        </w:tc>
        <w:tc>
          <w:tcPr>
            <w:tcW w:type="dxa" w:w="1560"/>
          </w:tcPr>
          <w:p>
            <w:pPr>
              <w:jc w:val="center"/>
            </w:pPr>
            <w:r>
              <w:rPr>
                <w:rFonts w:ascii="Times New Roman" w:hAnsi="Times New Roman"/>
                <w:sz w:val="18"/>
              </w:rPr>
              <w:t>25,346</w:t>
            </w:r>
          </w:p>
        </w:tc>
        <w:tc>
          <w:tcPr>
            <w:tcW w:type="dxa" w:w="1560"/>
          </w:tcPr>
          <w:p>
            <w:pPr>
              <w:jc w:val="center"/>
            </w:pPr>
            <w:r>
              <w:rPr>
                <w:rFonts w:ascii="Times New Roman" w:hAnsi="Times New Roman"/>
                <w:sz w:val="18"/>
              </w:rPr>
              <w:t>27,239</w:t>
            </w:r>
          </w:p>
        </w:tc>
        <w:tc>
          <w:tcPr>
            <w:tcW w:type="dxa" w:w="1560"/>
          </w:tcPr>
          <w:p>
            <w:pPr>
              <w:jc w:val="center"/>
            </w:pPr>
            <w:r>
              <w:rPr>
                <w:rFonts w:ascii="Times New Roman" w:hAnsi="Times New Roman"/>
                <w:sz w:val="18"/>
              </w:rPr>
              <w:t>26,224</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5,074</w:t>
            </w:r>
          </w:p>
        </w:tc>
        <w:tc>
          <w:tcPr>
            <w:tcW w:type="dxa" w:w="1560"/>
          </w:tcPr>
          <w:p>
            <w:pPr>
              <w:jc w:val="center"/>
            </w:pPr>
            <w:r>
              <w:rPr>
                <w:rFonts w:ascii="Times New Roman" w:hAnsi="Times New Roman"/>
                <w:sz w:val="18"/>
              </w:rPr>
              <w:t>7,874</w:t>
            </w:r>
          </w:p>
        </w:tc>
        <w:tc>
          <w:tcPr>
            <w:tcW w:type="dxa" w:w="1560"/>
          </w:tcPr>
          <w:p>
            <w:pPr>
              <w:jc w:val="center"/>
            </w:pPr>
            <w:r>
              <w:rPr>
                <w:rFonts w:ascii="Times New Roman" w:hAnsi="Times New Roman"/>
                <w:sz w:val="18"/>
              </w:rPr>
              <w:t>8,177</w:t>
            </w:r>
          </w:p>
        </w:tc>
        <w:tc>
          <w:tcPr>
            <w:tcW w:type="dxa" w:w="1560"/>
          </w:tcPr>
          <w:p>
            <w:pPr>
              <w:jc w:val="center"/>
            </w:pPr>
            <w:r>
              <w:rPr>
                <w:rFonts w:ascii="Times New Roman" w:hAnsi="Times New Roman"/>
                <w:sz w:val="18"/>
              </w:rPr>
              <w:t>9,376</w:t>
            </w:r>
          </w:p>
        </w:tc>
        <w:tc>
          <w:tcPr>
            <w:tcW w:type="dxa" w:w="1560"/>
          </w:tcPr>
          <w:p>
            <w:pPr>
              <w:jc w:val="center"/>
            </w:pPr>
            <w:r>
              <w:rPr>
                <w:rFonts w:ascii="Times New Roman" w:hAnsi="Times New Roman"/>
                <w:sz w:val="18"/>
              </w:rPr>
              <w:t>8,310</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13,908</w:t>
            </w:r>
          </w:p>
        </w:tc>
        <w:tc>
          <w:tcPr>
            <w:tcW w:type="dxa" w:w="1560"/>
          </w:tcPr>
          <w:p>
            <w:pPr>
              <w:jc w:val="center"/>
            </w:pPr>
            <w:r>
              <w:rPr>
                <w:rFonts w:ascii="Times New Roman" w:hAnsi="Times New Roman"/>
                <w:sz w:val="18"/>
              </w:rPr>
              <w:t>14,877</w:t>
            </w:r>
          </w:p>
        </w:tc>
        <w:tc>
          <w:tcPr>
            <w:tcW w:type="dxa" w:w="1560"/>
          </w:tcPr>
          <w:p>
            <w:pPr>
              <w:jc w:val="center"/>
            </w:pPr>
            <w:r>
              <w:rPr>
                <w:rFonts w:ascii="Times New Roman" w:hAnsi="Times New Roman"/>
                <w:sz w:val="18"/>
              </w:rPr>
              <w:t>15,191</w:t>
            </w:r>
          </w:p>
        </w:tc>
        <w:tc>
          <w:tcPr>
            <w:tcW w:type="dxa" w:w="1560"/>
          </w:tcPr>
          <w:p>
            <w:pPr>
              <w:jc w:val="center"/>
            </w:pPr>
            <w:r>
              <w:rPr>
                <w:rFonts w:ascii="Times New Roman" w:hAnsi="Times New Roman"/>
                <w:sz w:val="18"/>
              </w:rPr>
              <w:t>16,387</w:t>
            </w:r>
          </w:p>
        </w:tc>
        <w:tc>
          <w:tcPr>
            <w:tcW w:type="dxa" w:w="1560"/>
          </w:tcPr>
          <w:p>
            <w:pPr>
              <w:jc w:val="center"/>
            </w:pPr>
            <w:r>
              <w:rPr>
                <w:rFonts w:ascii="Times New Roman" w:hAnsi="Times New Roman"/>
                <w:sz w:val="18"/>
              </w:rPr>
              <w:t>15,700</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18,009</w:t>
            </w:r>
          </w:p>
        </w:tc>
        <w:tc>
          <w:tcPr>
            <w:tcW w:type="dxa" w:w="1560"/>
          </w:tcPr>
          <w:p>
            <w:pPr>
              <w:jc w:val="center"/>
            </w:pPr>
            <w:r>
              <w:rPr>
                <w:rFonts w:ascii="Times New Roman" w:hAnsi="Times New Roman"/>
                <w:sz w:val="18"/>
              </w:rPr>
              <w:t>19,949</w:t>
            </w:r>
          </w:p>
        </w:tc>
        <w:tc>
          <w:tcPr>
            <w:tcW w:type="dxa" w:w="1560"/>
          </w:tcPr>
          <w:p>
            <w:pPr>
              <w:jc w:val="center"/>
            </w:pPr>
            <w:r>
              <w:rPr>
                <w:rFonts w:ascii="Times New Roman" w:hAnsi="Times New Roman"/>
                <w:sz w:val="18"/>
              </w:rPr>
              <w:t>20,023</w:t>
            </w:r>
          </w:p>
        </w:tc>
        <w:tc>
          <w:tcPr>
            <w:tcW w:type="dxa" w:w="1560"/>
          </w:tcPr>
          <w:p>
            <w:pPr>
              <w:jc w:val="center"/>
            </w:pPr>
            <w:r>
              <w:rPr>
                <w:rFonts w:ascii="Times New Roman" w:hAnsi="Times New Roman"/>
                <w:sz w:val="18"/>
              </w:rPr>
              <w:t>20,295</w:t>
            </w:r>
          </w:p>
        </w:tc>
        <w:tc>
          <w:tcPr>
            <w:tcW w:type="dxa" w:w="1560"/>
          </w:tcPr>
          <w:p>
            <w:pPr>
              <w:jc w:val="center"/>
            </w:pPr>
            <w:r>
              <w:rPr>
                <w:rFonts w:ascii="Times New Roman" w:hAnsi="Times New Roman"/>
                <w:sz w:val="18"/>
              </w:rPr>
              <w:t>21,054</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17,259</w:t>
            </w:r>
          </w:p>
        </w:tc>
        <w:tc>
          <w:tcPr>
            <w:tcW w:type="dxa" w:w="1560"/>
          </w:tcPr>
          <w:p>
            <w:pPr>
              <w:jc w:val="center"/>
            </w:pPr>
            <w:r>
              <w:rPr>
                <w:rFonts w:ascii="Times New Roman" w:hAnsi="Times New Roman"/>
                <w:sz w:val="18"/>
              </w:rPr>
              <w:t>20,199</w:t>
            </w:r>
          </w:p>
        </w:tc>
        <w:tc>
          <w:tcPr>
            <w:tcW w:type="dxa" w:w="1560"/>
          </w:tcPr>
          <w:p>
            <w:pPr>
              <w:jc w:val="center"/>
            </w:pPr>
            <w:r>
              <w:rPr>
                <w:rFonts w:ascii="Times New Roman" w:hAnsi="Times New Roman"/>
                <w:sz w:val="18"/>
              </w:rPr>
              <w:t>20,391</w:t>
            </w:r>
          </w:p>
        </w:tc>
        <w:tc>
          <w:tcPr>
            <w:tcW w:type="dxa" w:w="1560"/>
          </w:tcPr>
          <w:p>
            <w:pPr>
              <w:jc w:val="center"/>
            </w:pPr>
            <w:r>
              <w:rPr>
                <w:rFonts w:ascii="Times New Roman" w:hAnsi="Times New Roman"/>
                <w:sz w:val="18"/>
              </w:rPr>
              <w:t>21,102</w:t>
            </w:r>
          </w:p>
        </w:tc>
        <w:tc>
          <w:tcPr>
            <w:tcW w:type="dxa" w:w="1560"/>
          </w:tcPr>
          <w:p>
            <w:pPr>
              <w:jc w:val="center"/>
            </w:pPr>
            <w:r>
              <w:rPr>
                <w:rFonts w:ascii="Times New Roman" w:hAnsi="Times New Roman"/>
                <w:sz w:val="18"/>
              </w:rPr>
              <w:t>21,317</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13,436</w:t>
            </w:r>
          </w:p>
        </w:tc>
        <w:tc>
          <w:tcPr>
            <w:tcW w:type="dxa" w:w="1560"/>
          </w:tcPr>
          <w:p>
            <w:pPr>
              <w:jc w:val="center"/>
            </w:pPr>
            <w:r>
              <w:rPr>
                <w:rFonts w:ascii="Times New Roman" w:hAnsi="Times New Roman"/>
                <w:sz w:val="18"/>
              </w:rPr>
              <w:t>13,957</w:t>
            </w:r>
          </w:p>
        </w:tc>
        <w:tc>
          <w:tcPr>
            <w:tcW w:type="dxa" w:w="1560"/>
          </w:tcPr>
          <w:p>
            <w:pPr>
              <w:jc w:val="center"/>
            </w:pPr>
            <w:r>
              <w:rPr>
                <w:rFonts w:ascii="Times New Roman" w:hAnsi="Times New Roman"/>
                <w:sz w:val="18"/>
              </w:rPr>
              <w:t>14,058</w:t>
            </w:r>
          </w:p>
        </w:tc>
        <w:tc>
          <w:tcPr>
            <w:tcW w:type="dxa" w:w="1560"/>
          </w:tcPr>
          <w:p>
            <w:pPr>
              <w:jc w:val="center"/>
            </w:pPr>
            <w:r>
              <w:rPr>
                <w:rFonts w:ascii="Times New Roman" w:hAnsi="Times New Roman"/>
                <w:sz w:val="18"/>
              </w:rPr>
              <w:t>14,430</w:t>
            </w:r>
          </w:p>
        </w:tc>
        <w:tc>
          <w:tcPr>
            <w:tcW w:type="dxa" w:w="1560"/>
          </w:tcPr>
          <w:p>
            <w:pPr>
              <w:jc w:val="center"/>
            </w:pPr>
            <w:r>
              <w:rPr>
                <w:rFonts w:ascii="Times New Roman" w:hAnsi="Times New Roman"/>
                <w:sz w:val="18"/>
              </w:rPr>
              <w:t>14,730</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9,330</w:t>
            </w:r>
          </w:p>
        </w:tc>
        <w:tc>
          <w:tcPr>
            <w:tcW w:type="dxa" w:w="1560"/>
          </w:tcPr>
          <w:p>
            <w:pPr>
              <w:jc w:val="center"/>
            </w:pPr>
            <w:r>
              <w:rPr>
                <w:rFonts w:ascii="Times New Roman" w:hAnsi="Times New Roman"/>
                <w:sz w:val="18"/>
              </w:rPr>
              <w:t>9,460</w:t>
            </w:r>
          </w:p>
        </w:tc>
        <w:tc>
          <w:tcPr>
            <w:tcW w:type="dxa" w:w="1560"/>
          </w:tcPr>
          <w:p>
            <w:pPr>
              <w:jc w:val="center"/>
            </w:pPr>
            <w:r>
              <w:rPr>
                <w:rFonts w:ascii="Times New Roman" w:hAnsi="Times New Roman"/>
                <w:sz w:val="18"/>
              </w:rPr>
              <w:t>9,520</w:t>
            </w:r>
          </w:p>
        </w:tc>
        <w:tc>
          <w:tcPr>
            <w:tcW w:type="dxa" w:w="1560"/>
          </w:tcPr>
          <w:p>
            <w:pPr>
              <w:jc w:val="center"/>
            </w:pPr>
            <w:r>
              <w:rPr>
                <w:rFonts w:ascii="Times New Roman" w:hAnsi="Times New Roman"/>
                <w:sz w:val="18"/>
              </w:rPr>
              <w:t>9,744</w:t>
            </w:r>
          </w:p>
        </w:tc>
        <w:tc>
          <w:tcPr>
            <w:tcW w:type="dxa" w:w="1560"/>
          </w:tcPr>
          <w:p>
            <w:pPr>
              <w:jc w:val="center"/>
            </w:pPr>
            <w:r>
              <w:rPr>
                <w:rFonts w:ascii="Times New Roman" w:hAnsi="Times New Roman"/>
                <w:sz w:val="18"/>
              </w:rPr>
              <w:t>9,984</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8,069</w:t>
            </w:r>
          </w:p>
        </w:tc>
        <w:tc>
          <w:tcPr>
            <w:tcW w:type="dxa" w:w="1560"/>
          </w:tcPr>
          <w:p>
            <w:pPr>
              <w:jc w:val="center"/>
            </w:pPr>
            <w:r>
              <w:rPr>
                <w:rFonts w:ascii="Times New Roman" w:hAnsi="Times New Roman"/>
                <w:sz w:val="18"/>
              </w:rPr>
              <w:t>9,333</w:t>
            </w:r>
          </w:p>
        </w:tc>
        <w:tc>
          <w:tcPr>
            <w:tcW w:type="dxa" w:w="1560"/>
          </w:tcPr>
          <w:p>
            <w:pPr>
              <w:jc w:val="center"/>
            </w:pPr>
            <w:r>
              <w:rPr>
                <w:rFonts w:ascii="Times New Roman" w:hAnsi="Times New Roman"/>
                <w:sz w:val="18"/>
              </w:rPr>
              <w:t>9,425</w:t>
            </w:r>
          </w:p>
        </w:tc>
        <w:tc>
          <w:tcPr>
            <w:tcW w:type="dxa" w:w="1560"/>
          </w:tcPr>
          <w:p>
            <w:pPr>
              <w:jc w:val="center"/>
            </w:pPr>
            <w:r>
              <w:rPr>
                <w:rFonts w:ascii="Times New Roman" w:hAnsi="Times New Roman"/>
                <w:sz w:val="18"/>
              </w:rPr>
              <w:t>9,766</w:t>
            </w:r>
          </w:p>
        </w:tc>
        <w:tc>
          <w:tcPr>
            <w:tcW w:type="dxa" w:w="1560"/>
          </w:tcPr>
          <w:p>
            <w:pPr>
              <w:jc w:val="center"/>
            </w:pPr>
            <w:r>
              <w:rPr>
                <w:rFonts w:ascii="Times New Roman" w:hAnsi="Times New Roman"/>
                <w:sz w:val="18"/>
              </w:rPr>
              <w:t>9,849</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10,043</w:t>
            </w:r>
          </w:p>
        </w:tc>
        <w:tc>
          <w:tcPr>
            <w:tcW w:type="dxa" w:w="1560"/>
          </w:tcPr>
          <w:p>
            <w:pPr>
              <w:jc w:val="center"/>
            </w:pPr>
            <w:r>
              <w:rPr>
                <w:rFonts w:ascii="Times New Roman" w:hAnsi="Times New Roman"/>
                <w:sz w:val="18"/>
              </w:rPr>
              <w:t>11,411</w:t>
            </w:r>
          </w:p>
        </w:tc>
        <w:tc>
          <w:tcPr>
            <w:tcW w:type="dxa" w:w="1560"/>
          </w:tcPr>
          <w:p>
            <w:pPr>
              <w:jc w:val="center"/>
            </w:pPr>
            <w:r>
              <w:rPr>
                <w:rFonts w:ascii="Times New Roman" w:hAnsi="Times New Roman"/>
                <w:sz w:val="18"/>
              </w:rPr>
              <w:t>11,479</w:t>
            </w:r>
          </w:p>
        </w:tc>
        <w:tc>
          <w:tcPr>
            <w:tcW w:type="dxa" w:w="1560"/>
          </w:tcPr>
          <w:p>
            <w:pPr>
              <w:jc w:val="center"/>
            </w:pPr>
            <w:r>
              <w:rPr>
                <w:rFonts w:ascii="Times New Roman" w:hAnsi="Times New Roman"/>
                <w:sz w:val="18"/>
              </w:rPr>
              <w:t>11,732</w:t>
            </w:r>
          </w:p>
        </w:tc>
        <w:tc>
          <w:tcPr>
            <w:tcW w:type="dxa" w:w="1560"/>
          </w:tcPr>
          <w:p>
            <w:pPr>
              <w:jc w:val="center"/>
            </w:pPr>
            <w:r>
              <w:rPr>
                <w:rFonts w:ascii="Times New Roman" w:hAnsi="Times New Roman"/>
                <w:sz w:val="18"/>
              </w:rPr>
              <w:t>12,042</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10,628</w:t>
            </w:r>
          </w:p>
        </w:tc>
        <w:tc>
          <w:tcPr>
            <w:tcW w:type="dxa" w:w="1560"/>
          </w:tcPr>
          <w:p>
            <w:pPr>
              <w:jc w:val="center"/>
            </w:pPr>
            <w:r>
              <w:rPr>
                <w:rFonts w:ascii="Times New Roman" w:hAnsi="Times New Roman"/>
                <w:sz w:val="18"/>
              </w:rPr>
              <w:t>13,699</w:t>
            </w:r>
          </w:p>
        </w:tc>
        <w:tc>
          <w:tcPr>
            <w:tcW w:type="dxa" w:w="1560"/>
          </w:tcPr>
          <w:p>
            <w:pPr>
              <w:jc w:val="center"/>
            </w:pPr>
            <w:r>
              <w:rPr>
                <w:rFonts w:ascii="Times New Roman" w:hAnsi="Times New Roman"/>
                <w:sz w:val="18"/>
              </w:rPr>
              <w:t>13,745</w:t>
            </w:r>
          </w:p>
        </w:tc>
        <w:tc>
          <w:tcPr>
            <w:tcW w:type="dxa" w:w="1560"/>
          </w:tcPr>
          <w:p>
            <w:pPr>
              <w:jc w:val="center"/>
            </w:pPr>
            <w:r>
              <w:rPr>
                <w:rFonts w:ascii="Times New Roman" w:hAnsi="Times New Roman"/>
                <w:sz w:val="18"/>
              </w:rPr>
              <w:t>13,915</w:t>
            </w:r>
          </w:p>
        </w:tc>
        <w:tc>
          <w:tcPr>
            <w:tcW w:type="dxa" w:w="1560"/>
          </w:tcPr>
          <w:p>
            <w:pPr>
              <w:jc w:val="center"/>
            </w:pPr>
            <w:r>
              <w:rPr>
                <w:rFonts w:ascii="Times New Roman" w:hAnsi="Times New Roman"/>
                <w:sz w:val="18"/>
              </w:rPr>
              <w:t>14,458</w:t>
            </w:r>
          </w:p>
        </w:tc>
      </w:tr>
      <w:tr>
        <w:tc>
          <w:tcPr>
            <w:tcW w:type="dxa" w:w="1560"/>
          </w:tcPr>
          <w:p>
            <w:r>
              <w:rPr>
                <w:rFonts w:ascii="Times New Roman" w:hAnsi="Times New Roman"/>
                <w:sz w:val="18"/>
              </w:rPr>
              <w:t>All specialties</w:t>
            </w:r>
          </w:p>
        </w:tc>
        <w:tc>
          <w:tcPr>
            <w:tcW w:type="dxa" w:w="1560"/>
          </w:tcPr>
          <w:p>
            <w:pPr>
              <w:jc w:val="center"/>
            </w:pPr>
            <w:r>
              <w:rPr>
                <w:rFonts w:ascii="Times New Roman" w:hAnsi="Times New Roman"/>
                <w:sz w:val="18"/>
              </w:rPr>
              <w:t>279,281</w:t>
            </w:r>
          </w:p>
        </w:tc>
        <w:tc>
          <w:tcPr>
            <w:tcW w:type="dxa" w:w="1560"/>
          </w:tcPr>
          <w:p>
            <w:pPr>
              <w:jc w:val="center"/>
            </w:pPr>
            <w:r>
              <w:rPr>
                <w:rFonts w:ascii="Times New Roman" w:hAnsi="Times New Roman"/>
                <w:sz w:val="18"/>
              </w:rPr>
              <w:t>308,815</w:t>
            </w:r>
          </w:p>
        </w:tc>
        <w:tc>
          <w:tcPr>
            <w:tcW w:type="dxa" w:w="1560"/>
          </w:tcPr>
          <w:p>
            <w:pPr>
              <w:jc w:val="center"/>
            </w:pPr>
            <w:r>
              <w:rPr>
                <w:rFonts w:ascii="Times New Roman" w:hAnsi="Times New Roman"/>
                <w:sz w:val="18"/>
              </w:rPr>
              <w:t>312,218</w:t>
            </w:r>
          </w:p>
        </w:tc>
        <w:tc>
          <w:tcPr>
            <w:tcW w:type="dxa" w:w="1560"/>
          </w:tcPr>
          <w:p>
            <w:pPr>
              <w:jc w:val="center"/>
            </w:pPr>
            <w:r>
              <w:rPr>
                <w:rFonts w:ascii="Times New Roman" w:hAnsi="Times New Roman"/>
                <w:sz w:val="18"/>
              </w:rPr>
              <w:t>325,021</w:t>
            </w:r>
          </w:p>
        </w:tc>
        <w:tc>
          <w:tcPr>
            <w:tcW w:type="dxa" w:w="1560"/>
          </w:tcPr>
          <w:p>
            <w:pPr>
              <w:jc w:val="center"/>
            </w:pPr>
            <w:r>
              <w:rPr>
                <w:rFonts w:ascii="Times New Roman" w:hAnsi="Times New Roman"/>
                <w:sz w:val="18"/>
              </w:rPr>
              <w:t>325,915</w:t>
            </w:r>
          </w:p>
        </w:tc>
      </w:tr>
    </w:tbl>
    <w:p/>
    <w:p>
      <w:pPr>
        <w:spacing w:before="280" w:after="120"/>
      </w:pPr>
      <w:r>
        <w:rPr>
          <w:rFonts w:ascii="Times New Roman" w:hAnsi="Times New Roman"/>
          <w:b/>
          <w:sz w:val="20"/>
        </w:rPr>
        <w:t>Supplementary Table 8. Specialist-trainee coverage by specialty. Coverage is the number of 2018 first-year specialist trainees divided by the number of physicians reported 3–5 years after medical registration in 2014, by primary specialty.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2018 specialist trainees (senkoi)</w:t>
            </w:r>
          </w:p>
        </w:tc>
        <w:tc>
          <w:tcPr>
            <w:tcW w:type="dxa" w:w="1560"/>
          </w:tcPr>
          <w:p>
            <w:pPr>
              <w:jc w:val="center"/>
            </w:pPr>
            <w:r>
              <w:rPr>
                <w:rFonts w:ascii="Times New Roman" w:hAnsi="Times New Roman"/>
                <w:b/>
                <w:sz w:val="18"/>
              </w:rPr>
              <w:t>Physicians 3–5 yr after registration (2014)</w:t>
            </w:r>
          </w:p>
        </w:tc>
        <w:tc>
          <w:tcPr>
            <w:tcW w:type="dxa" w:w="1560"/>
          </w:tcPr>
          <w:p>
            <w:pPr>
              <w:jc w:val="center"/>
            </w:pPr>
            <w:r>
              <w:rPr>
                <w:rFonts w:ascii="Times New Roman" w:hAnsi="Times New Roman"/>
                <w:b/>
                <w:sz w:val="18"/>
              </w:rPr>
              <w:t>H24 cohort 3rd year (2012)</w:t>
            </w:r>
          </w:p>
        </w:tc>
        <w:tc>
          <w:tcPr>
            <w:tcW w:type="dxa" w:w="1560"/>
          </w:tcPr>
          <w:p>
            <w:pPr>
              <w:jc w:val="center"/>
            </w:pPr>
            <w:r>
              <w:rPr>
                <w:rFonts w:ascii="Times New Roman" w:hAnsi="Times New Roman"/>
                <w:b/>
                <w:sz w:val="18"/>
              </w:rPr>
              <w:t>H24 cohort 5th year (2014)</w:t>
            </w:r>
          </w:p>
        </w:tc>
        <w:tc>
          <w:tcPr>
            <w:tcW w:type="dxa" w:w="1560"/>
          </w:tcPr>
          <w:p>
            <w:pPr>
              <w:jc w:val="center"/>
            </w:pPr>
            <w:r>
              <w:rPr>
                <w:rFonts w:ascii="Times New Roman" w:hAnsi="Times New Roman"/>
                <w:b/>
                <w:sz w:val="18"/>
              </w:rPr>
              <w:t>Coverage</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2,670</w:t>
            </w:r>
          </w:p>
        </w:tc>
        <w:tc>
          <w:tcPr>
            <w:tcW w:type="dxa" w:w="1560"/>
          </w:tcPr>
          <w:p>
            <w:pPr>
              <w:jc w:val="center"/>
            </w:pPr>
            <w:r>
              <w:rPr>
                <w:rFonts w:ascii="Times New Roman" w:hAnsi="Times New Roman"/>
                <w:sz w:val="18"/>
              </w:rPr>
              <w:t>21,536</w:t>
            </w:r>
          </w:p>
        </w:tc>
        <w:tc>
          <w:tcPr>
            <w:tcW w:type="dxa" w:w="1560"/>
          </w:tcPr>
          <w:p>
            <w:pPr>
              <w:jc w:val="center"/>
            </w:pPr>
            <w:r>
              <w:rPr>
                <w:rFonts w:ascii="Times New Roman" w:hAnsi="Times New Roman"/>
                <w:sz w:val="18"/>
              </w:rPr>
              <w:t>2,630</w:t>
            </w:r>
          </w:p>
        </w:tc>
        <w:tc>
          <w:tcPr>
            <w:tcW w:type="dxa" w:w="1560"/>
          </w:tcPr>
          <w:p>
            <w:pPr>
              <w:jc w:val="center"/>
            </w:pPr>
            <w:r>
              <w:rPr>
                <w:rFonts w:ascii="Times New Roman" w:hAnsi="Times New Roman"/>
                <w:sz w:val="18"/>
              </w:rPr>
              <w:t>2,621</w:t>
            </w:r>
          </w:p>
        </w:tc>
        <w:tc>
          <w:tcPr>
            <w:tcW w:type="dxa" w:w="1560"/>
          </w:tcPr>
          <w:p>
            <w:pPr>
              <w:jc w:val="center"/>
            </w:pPr>
            <w:r>
              <w:rPr>
                <w:rFonts w:ascii="Times New Roman" w:hAnsi="Times New Roman"/>
                <w:sz w:val="18"/>
              </w:rPr>
              <w:t>12.4%</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805</w:t>
            </w:r>
          </w:p>
        </w:tc>
        <w:tc>
          <w:tcPr>
            <w:tcW w:type="dxa" w:w="1560"/>
          </w:tcPr>
          <w:p>
            <w:pPr>
              <w:jc w:val="center"/>
            </w:pPr>
            <w:r>
              <w:rPr>
                <w:rFonts w:ascii="Times New Roman" w:hAnsi="Times New Roman"/>
                <w:sz w:val="18"/>
              </w:rPr>
              <w:t>985</w:t>
            </w:r>
          </w:p>
        </w:tc>
        <w:tc>
          <w:tcPr>
            <w:tcW w:type="dxa" w:w="1560"/>
          </w:tcPr>
          <w:p>
            <w:pPr>
              <w:jc w:val="center"/>
            </w:pPr>
            <w:r>
              <w:rPr>
                <w:rFonts w:ascii="Times New Roman" w:hAnsi="Times New Roman"/>
                <w:sz w:val="18"/>
              </w:rPr>
              <w:t>735</w:t>
            </w:r>
          </w:p>
        </w:tc>
        <w:tc>
          <w:tcPr>
            <w:tcW w:type="dxa" w:w="1560"/>
          </w:tcPr>
          <w:p>
            <w:pPr>
              <w:jc w:val="center"/>
            </w:pPr>
            <w:r>
              <w:rPr>
                <w:rFonts w:ascii="Times New Roman" w:hAnsi="Times New Roman"/>
                <w:sz w:val="18"/>
              </w:rPr>
              <w:t>774</w:t>
            </w:r>
          </w:p>
        </w:tc>
        <w:tc>
          <w:tcPr>
            <w:tcW w:type="dxa" w:w="1560"/>
          </w:tcPr>
          <w:p>
            <w:pPr>
              <w:jc w:val="center"/>
            </w:pPr>
            <w:r>
              <w:rPr>
                <w:rFonts w:ascii="Times New Roman" w:hAnsi="Times New Roman"/>
                <w:sz w:val="18"/>
              </w:rPr>
              <w:t>81.7%</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552</w:t>
            </w:r>
          </w:p>
        </w:tc>
        <w:tc>
          <w:tcPr>
            <w:tcW w:type="dxa" w:w="1560"/>
          </w:tcPr>
          <w:p>
            <w:pPr>
              <w:jc w:val="center"/>
            </w:pPr>
            <w:r>
              <w:rPr>
                <w:rFonts w:ascii="Times New Roman" w:hAnsi="Times New Roman"/>
                <w:sz w:val="18"/>
              </w:rPr>
              <w:t>2,291</w:t>
            </w:r>
          </w:p>
        </w:tc>
        <w:tc>
          <w:tcPr>
            <w:tcW w:type="dxa" w:w="1560"/>
          </w:tcPr>
          <w:p>
            <w:pPr>
              <w:jc w:val="center"/>
            </w:pPr>
            <w:r>
              <w:rPr>
                <w:rFonts w:ascii="Times New Roman" w:hAnsi="Times New Roman"/>
                <w:sz w:val="18"/>
              </w:rPr>
              <w:t>457</w:t>
            </w:r>
          </w:p>
        </w:tc>
        <w:tc>
          <w:tcPr>
            <w:tcW w:type="dxa" w:w="1560"/>
          </w:tcPr>
          <w:p>
            <w:pPr>
              <w:jc w:val="center"/>
            </w:pPr>
            <w:r>
              <w:rPr>
                <w:rFonts w:ascii="Times New Roman" w:hAnsi="Times New Roman"/>
                <w:sz w:val="18"/>
              </w:rPr>
              <w:t>472</w:t>
            </w:r>
          </w:p>
        </w:tc>
        <w:tc>
          <w:tcPr>
            <w:tcW w:type="dxa" w:w="1560"/>
          </w:tcPr>
          <w:p>
            <w:pPr>
              <w:jc w:val="center"/>
            </w:pPr>
            <w:r>
              <w:rPr>
                <w:rFonts w:ascii="Times New Roman" w:hAnsi="Times New Roman"/>
                <w:sz w:val="18"/>
              </w:rPr>
              <w:t>24.1%</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163</w:t>
            </w:r>
          </w:p>
        </w:tc>
        <w:tc>
          <w:tcPr>
            <w:tcW w:type="dxa" w:w="1560"/>
          </w:tcPr>
          <w:p>
            <w:pPr>
              <w:jc w:val="center"/>
            </w:pPr>
            <w:r>
              <w:rPr>
                <w:rFonts w:ascii="Times New Roman" w:hAnsi="Times New Roman"/>
                <w:sz w:val="18"/>
              </w:rPr>
              <w:t>317</w:t>
            </w:r>
          </w:p>
        </w:tc>
        <w:tc>
          <w:tcPr>
            <w:tcW w:type="dxa" w:w="1560"/>
          </w:tcPr>
          <w:p>
            <w:pPr>
              <w:jc w:val="center"/>
            </w:pPr>
            <w:r>
              <w:rPr>
                <w:rFonts w:ascii="Times New Roman" w:hAnsi="Times New Roman"/>
                <w:sz w:val="18"/>
              </w:rPr>
              <w:t>144</w:t>
            </w:r>
          </w:p>
        </w:tc>
        <w:tc>
          <w:tcPr>
            <w:tcW w:type="dxa" w:w="1560"/>
          </w:tcPr>
          <w:p>
            <w:pPr>
              <w:jc w:val="center"/>
            </w:pPr>
            <w:r>
              <w:rPr>
                <w:rFonts w:ascii="Times New Roman" w:hAnsi="Times New Roman"/>
                <w:sz w:val="18"/>
              </w:rPr>
              <w:t>148</w:t>
            </w:r>
          </w:p>
        </w:tc>
        <w:tc>
          <w:tcPr>
            <w:tcW w:type="dxa" w:w="1560"/>
          </w:tcPr>
          <w:p>
            <w:pPr>
              <w:jc w:val="center"/>
            </w:pPr>
            <w:r>
              <w:rPr>
                <w:rFonts w:ascii="Times New Roman" w:hAnsi="Times New Roman"/>
                <w:sz w:val="18"/>
              </w:rPr>
              <w:t>51.4%</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1,383</w:t>
            </w:r>
          </w:p>
        </w:tc>
        <w:tc>
          <w:tcPr>
            <w:tcW w:type="dxa" w:w="1560"/>
          </w:tcPr>
          <w:p>
            <w:pPr>
              <w:jc w:val="center"/>
            </w:pPr>
            <w:r>
              <w:rPr>
                <w:rFonts w:ascii="Times New Roman" w:hAnsi="Times New Roman"/>
                <w:sz w:val="18"/>
              </w:rPr>
              <w:t>327</w:t>
            </w:r>
          </w:p>
        </w:tc>
        <w:tc>
          <w:tcPr>
            <w:tcW w:type="dxa" w:w="1560"/>
          </w:tcPr>
          <w:p>
            <w:pPr>
              <w:jc w:val="center"/>
            </w:pPr>
            <w:r>
              <w:rPr>
                <w:rFonts w:ascii="Times New Roman" w:hAnsi="Times New Roman"/>
                <w:sz w:val="18"/>
              </w:rPr>
              <w:t>342</w:t>
            </w:r>
          </w:p>
        </w:tc>
        <w:tc>
          <w:tcPr>
            <w:tcW w:type="dxa" w:w="1560"/>
          </w:tcPr>
          <w:p>
            <w:pPr>
              <w:jc w:val="center"/>
            </w:pPr>
            <w:r>
              <w:rPr>
                <w:rFonts w:ascii="Times New Roman" w:hAnsi="Times New Roman"/>
                <w:sz w:val="18"/>
              </w:rPr>
              <w:t>31.9%</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573</w:t>
            </w:r>
          </w:p>
        </w:tc>
        <w:tc>
          <w:tcPr>
            <w:tcW w:type="dxa" w:w="1560"/>
          </w:tcPr>
          <w:p>
            <w:pPr>
              <w:jc w:val="center"/>
            </w:pPr>
            <w:r>
              <w:rPr>
                <w:rFonts w:ascii="Times New Roman" w:hAnsi="Times New Roman"/>
                <w:sz w:val="18"/>
              </w:rPr>
              <w:t>7,950</w:t>
            </w:r>
          </w:p>
        </w:tc>
        <w:tc>
          <w:tcPr>
            <w:tcW w:type="dxa" w:w="1560"/>
          </w:tcPr>
          <w:p>
            <w:pPr>
              <w:jc w:val="center"/>
            </w:pPr>
            <w:r>
              <w:rPr>
                <w:rFonts w:ascii="Times New Roman" w:hAnsi="Times New Roman"/>
                <w:sz w:val="18"/>
              </w:rPr>
              <w:t>447</w:t>
            </w:r>
          </w:p>
        </w:tc>
        <w:tc>
          <w:tcPr>
            <w:tcW w:type="dxa" w:w="1560"/>
          </w:tcPr>
          <w:p>
            <w:pPr>
              <w:jc w:val="center"/>
            </w:pPr>
            <w:r>
              <w:rPr>
                <w:rFonts w:ascii="Times New Roman" w:hAnsi="Times New Roman"/>
                <w:sz w:val="18"/>
              </w:rPr>
              <w:t>433</w:t>
            </w:r>
          </w:p>
        </w:tc>
        <w:tc>
          <w:tcPr>
            <w:tcW w:type="dxa" w:w="1560"/>
          </w:tcPr>
          <w:p>
            <w:pPr>
              <w:jc w:val="center"/>
            </w:pPr>
            <w:r>
              <w:rPr>
                <w:rFonts w:ascii="Times New Roman" w:hAnsi="Times New Roman"/>
                <w:sz w:val="18"/>
              </w:rPr>
              <w:t>7.2%</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637</w:t>
            </w:r>
          </w:p>
        </w:tc>
        <w:tc>
          <w:tcPr>
            <w:tcW w:type="dxa" w:w="1560"/>
          </w:tcPr>
          <w:p>
            <w:pPr>
              <w:jc w:val="center"/>
            </w:pPr>
            <w:r>
              <w:rPr>
                <w:rFonts w:ascii="Times New Roman" w:hAnsi="Times New Roman"/>
                <w:sz w:val="18"/>
              </w:rPr>
              <w:t>314</w:t>
            </w:r>
          </w:p>
        </w:tc>
        <w:tc>
          <w:tcPr>
            <w:tcW w:type="dxa" w:w="1560"/>
          </w:tcPr>
          <w:p>
            <w:pPr>
              <w:jc w:val="center"/>
            </w:pPr>
            <w:r>
              <w:rPr>
                <w:rFonts w:ascii="Times New Roman" w:hAnsi="Times New Roman"/>
                <w:sz w:val="18"/>
              </w:rPr>
              <w:t>354</w:t>
            </w:r>
          </w:p>
        </w:tc>
        <w:tc>
          <w:tcPr>
            <w:tcW w:type="dxa" w:w="1560"/>
          </w:tcPr>
          <w:p>
            <w:pPr>
              <w:jc w:val="center"/>
            </w:pPr>
            <w:r>
              <w:rPr>
                <w:rFonts w:ascii="Times New Roman" w:hAnsi="Times New Roman"/>
                <w:sz w:val="18"/>
              </w:rPr>
              <w:t>69.2%</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328</w:t>
            </w:r>
          </w:p>
        </w:tc>
        <w:tc>
          <w:tcPr>
            <w:tcW w:type="dxa" w:w="1560"/>
          </w:tcPr>
          <w:p>
            <w:pPr>
              <w:jc w:val="center"/>
            </w:pPr>
            <w:r>
              <w:rPr>
                <w:rFonts w:ascii="Times New Roman" w:hAnsi="Times New Roman"/>
                <w:sz w:val="18"/>
              </w:rPr>
              <w:t>1,051</w:t>
            </w:r>
          </w:p>
        </w:tc>
        <w:tc>
          <w:tcPr>
            <w:tcW w:type="dxa" w:w="1560"/>
          </w:tcPr>
          <w:p>
            <w:pPr>
              <w:jc w:val="center"/>
            </w:pPr>
            <w:r>
              <w:rPr>
                <w:rFonts w:ascii="Times New Roman" w:hAnsi="Times New Roman"/>
                <w:sz w:val="18"/>
              </w:rPr>
              <w:t>211</w:t>
            </w:r>
          </w:p>
        </w:tc>
        <w:tc>
          <w:tcPr>
            <w:tcW w:type="dxa" w:w="1560"/>
          </w:tcPr>
          <w:p>
            <w:pPr>
              <w:jc w:val="center"/>
            </w:pPr>
            <w:r>
              <w:rPr>
                <w:rFonts w:ascii="Times New Roman" w:hAnsi="Times New Roman"/>
                <w:sz w:val="18"/>
              </w:rPr>
              <w:t>213</w:t>
            </w:r>
          </w:p>
        </w:tc>
        <w:tc>
          <w:tcPr>
            <w:tcW w:type="dxa" w:w="1560"/>
          </w:tcPr>
          <w:p>
            <w:pPr>
              <w:jc w:val="center"/>
            </w:pPr>
            <w:r>
              <w:rPr>
                <w:rFonts w:ascii="Times New Roman" w:hAnsi="Times New Roman"/>
                <w:sz w:val="18"/>
              </w:rPr>
              <w:t>31.2%</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267</w:t>
            </w:r>
          </w:p>
        </w:tc>
        <w:tc>
          <w:tcPr>
            <w:tcW w:type="dxa" w:w="1560"/>
          </w:tcPr>
          <w:p>
            <w:pPr>
              <w:jc w:val="center"/>
            </w:pPr>
            <w:r>
              <w:rPr>
                <w:rFonts w:ascii="Times New Roman" w:hAnsi="Times New Roman"/>
                <w:sz w:val="18"/>
              </w:rPr>
              <w:t>617</w:t>
            </w:r>
          </w:p>
        </w:tc>
        <w:tc>
          <w:tcPr>
            <w:tcW w:type="dxa" w:w="1560"/>
          </w:tcPr>
          <w:p>
            <w:pPr>
              <w:jc w:val="center"/>
            </w:pPr>
            <w:r>
              <w:rPr>
                <w:rFonts w:ascii="Times New Roman" w:hAnsi="Times New Roman"/>
                <w:sz w:val="18"/>
              </w:rPr>
              <w:t>195</w:t>
            </w:r>
          </w:p>
        </w:tc>
        <w:tc>
          <w:tcPr>
            <w:tcW w:type="dxa" w:w="1560"/>
          </w:tcPr>
          <w:p>
            <w:pPr>
              <w:jc w:val="center"/>
            </w:pPr>
            <w:r>
              <w:rPr>
                <w:rFonts w:ascii="Times New Roman" w:hAnsi="Times New Roman"/>
                <w:sz w:val="18"/>
              </w:rPr>
              <w:t>193</w:t>
            </w:r>
          </w:p>
        </w:tc>
        <w:tc>
          <w:tcPr>
            <w:tcW w:type="dxa" w:w="1560"/>
          </w:tcPr>
          <w:p>
            <w:pPr>
              <w:jc w:val="center"/>
            </w:pPr>
            <w:r>
              <w:rPr>
                <w:rFonts w:ascii="Times New Roman" w:hAnsi="Times New Roman"/>
                <w:sz w:val="18"/>
              </w:rPr>
              <w:t>43.3%</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274</w:t>
            </w:r>
          </w:p>
        </w:tc>
        <w:tc>
          <w:tcPr>
            <w:tcW w:type="dxa" w:w="1560"/>
          </w:tcPr>
          <w:p>
            <w:pPr>
              <w:jc w:val="center"/>
            </w:pPr>
            <w:r>
              <w:rPr>
                <w:rFonts w:ascii="Times New Roman" w:hAnsi="Times New Roman"/>
                <w:sz w:val="18"/>
              </w:rPr>
              <w:t>568</w:t>
            </w:r>
          </w:p>
        </w:tc>
        <w:tc>
          <w:tcPr>
            <w:tcW w:type="dxa" w:w="1560"/>
          </w:tcPr>
          <w:p>
            <w:pPr>
              <w:jc w:val="center"/>
            </w:pPr>
            <w:r>
              <w:rPr>
                <w:rFonts w:ascii="Times New Roman" w:hAnsi="Times New Roman"/>
                <w:sz w:val="18"/>
              </w:rPr>
              <w:t>206</w:t>
            </w:r>
          </w:p>
        </w:tc>
        <w:tc>
          <w:tcPr>
            <w:tcW w:type="dxa" w:w="1560"/>
          </w:tcPr>
          <w:p>
            <w:pPr>
              <w:jc w:val="center"/>
            </w:pPr>
            <w:r>
              <w:rPr>
                <w:rFonts w:ascii="Times New Roman" w:hAnsi="Times New Roman"/>
                <w:sz w:val="18"/>
              </w:rPr>
              <w:t>194</w:t>
            </w:r>
          </w:p>
        </w:tc>
        <w:tc>
          <w:tcPr>
            <w:tcW w:type="dxa" w:w="1560"/>
          </w:tcPr>
          <w:p>
            <w:pPr>
              <w:jc w:val="center"/>
            </w:pPr>
            <w:r>
              <w:rPr>
                <w:rFonts w:ascii="Times New Roman" w:hAnsi="Times New Roman"/>
                <w:sz w:val="18"/>
              </w:rPr>
              <w:t>48.2%</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271</w:t>
            </w:r>
          </w:p>
        </w:tc>
        <w:tc>
          <w:tcPr>
            <w:tcW w:type="dxa" w:w="1560"/>
          </w:tcPr>
          <w:p>
            <w:pPr>
              <w:jc w:val="center"/>
            </w:pPr>
            <w:r>
              <w:rPr>
                <w:rFonts w:ascii="Times New Roman" w:hAnsi="Times New Roman"/>
                <w:sz w:val="18"/>
              </w:rPr>
              <w:t>1,405</w:t>
            </w:r>
          </w:p>
        </w:tc>
        <w:tc>
          <w:tcPr>
            <w:tcW w:type="dxa" w:w="1560"/>
          </w:tcPr>
          <w:p>
            <w:pPr>
              <w:jc w:val="center"/>
            </w:pPr>
            <w:r>
              <w:rPr>
                <w:rFonts w:ascii="Times New Roman" w:hAnsi="Times New Roman"/>
                <w:sz w:val="18"/>
              </w:rPr>
              <w:t>228</w:t>
            </w:r>
          </w:p>
        </w:tc>
        <w:tc>
          <w:tcPr>
            <w:tcW w:type="dxa" w:w="1560"/>
          </w:tcPr>
          <w:p>
            <w:pPr>
              <w:jc w:val="center"/>
            </w:pPr>
            <w:r>
              <w:rPr>
                <w:rFonts w:ascii="Times New Roman" w:hAnsi="Times New Roman"/>
                <w:sz w:val="18"/>
              </w:rPr>
              <w:t>210</w:t>
            </w:r>
          </w:p>
        </w:tc>
        <w:tc>
          <w:tcPr>
            <w:tcW w:type="dxa" w:w="1560"/>
          </w:tcPr>
          <w:p>
            <w:pPr>
              <w:jc w:val="center"/>
            </w:pPr>
            <w:r>
              <w:rPr>
                <w:rFonts w:ascii="Times New Roman" w:hAnsi="Times New Roman"/>
                <w:sz w:val="18"/>
              </w:rPr>
              <w:t>19.3%</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495</w:t>
            </w:r>
          </w:p>
        </w:tc>
        <w:tc>
          <w:tcPr>
            <w:tcW w:type="dxa" w:w="1560"/>
          </w:tcPr>
          <w:p>
            <w:pPr>
              <w:jc w:val="center"/>
            </w:pPr>
            <w:r>
              <w:rPr>
                <w:rFonts w:ascii="Times New Roman" w:hAnsi="Times New Roman"/>
                <w:sz w:val="18"/>
              </w:rPr>
              <w:t>1,091</w:t>
            </w:r>
          </w:p>
        </w:tc>
        <w:tc>
          <w:tcPr>
            <w:tcW w:type="dxa" w:w="1560"/>
          </w:tcPr>
          <w:p>
            <w:pPr>
              <w:jc w:val="center"/>
            </w:pPr>
            <w:r>
              <w:rPr>
                <w:rFonts w:ascii="Times New Roman" w:hAnsi="Times New Roman"/>
                <w:sz w:val="18"/>
              </w:rPr>
              <w:t>378</w:t>
            </w:r>
          </w:p>
        </w:tc>
        <w:tc>
          <w:tcPr>
            <w:tcW w:type="dxa" w:w="1560"/>
          </w:tcPr>
          <w:p>
            <w:pPr>
              <w:jc w:val="center"/>
            </w:pPr>
            <w:r>
              <w:rPr>
                <w:rFonts w:ascii="Times New Roman" w:hAnsi="Times New Roman"/>
                <w:sz w:val="18"/>
              </w:rPr>
              <w:t>385</w:t>
            </w:r>
          </w:p>
        </w:tc>
        <w:tc>
          <w:tcPr>
            <w:tcW w:type="dxa" w:w="1560"/>
          </w:tcPr>
          <w:p>
            <w:pPr>
              <w:jc w:val="center"/>
            </w:pPr>
            <w:r>
              <w:rPr>
                <w:rFonts w:ascii="Times New Roman" w:hAnsi="Times New Roman"/>
                <w:sz w:val="18"/>
              </w:rPr>
              <w:t>45.4%</w:t>
            </w:r>
          </w:p>
        </w:tc>
      </w:tr>
    </w:tbl>
    <w:p/>
    <w:p>
      <w:pPr>
        <w:spacing w:before="280" w:after="120"/>
      </w:pPr>
      <w:r>
        <w:rPr>
          <w:rFonts w:ascii="Times New Roman" w:hAnsi="Times New Roman"/>
          <w:b/>
          <w:sz w:val="20"/>
        </w:rPr>
        <w:t>Supplementary Table 9. Heterogeneity and trend-robustness checks. High-litigation and surgical models include an interaction between the lagged litigation rate and a binary group indicator (the main effect of the group is absorbed by specialty fixed effects). The trend-robustness model adds specialty-specific linear time trends.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Outcome</w:t>
            </w:r>
          </w:p>
        </w:tc>
        <w:tc>
          <w:tcPr>
            <w:tcW w:type="dxa" w:w="1337"/>
          </w:tcPr>
          <w:p>
            <w:pPr>
              <w:jc w:val="center"/>
            </w:pPr>
            <w:r>
              <w:rPr>
                <w:rFonts w:ascii="Times New Roman" w:hAnsi="Times New Roman"/>
                <w:b/>
                <w:sz w:val="18"/>
              </w:rPr>
              <w:t>Group / check</w:t>
            </w:r>
          </w:p>
        </w:tc>
        <w:tc>
          <w:tcPr>
            <w:tcW w:type="dxa" w:w="1337"/>
          </w:tcPr>
          <w:p>
            <w:pPr>
              <w:jc w:val="center"/>
            </w:pPr>
            <w:r>
              <w:rPr>
                <w:rFonts w:ascii="Times New Roman" w:hAnsi="Times New Roman"/>
                <w:b/>
                <w:sz w:val="18"/>
              </w:rPr>
              <w:t>Main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Interaction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n</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+0.0098 (+0.0084)</w:t>
            </w:r>
          </w:p>
        </w:tc>
        <w:tc>
          <w:tcPr>
            <w:tcW w:type="dxa" w:w="1337"/>
          </w:tcPr>
          <w:p>
            <w:pPr>
              <w:jc w:val="center"/>
            </w:pPr>
            <w:r>
              <w:rPr>
                <w:rFonts w:ascii="Times New Roman" w:hAnsi="Times New Roman"/>
                <w:sz w:val="18"/>
              </w:rPr>
              <w:t>0.27</w:t>
            </w:r>
          </w:p>
        </w:tc>
        <w:tc>
          <w:tcPr>
            <w:tcW w:type="dxa" w:w="1337"/>
          </w:tcPr>
          <w:p>
            <w:pPr>
              <w:jc w:val="center"/>
            </w:pPr>
            <w:r>
              <w:rPr>
                <w:rFonts w:ascii="Times New Roman" w:hAnsi="Times New Roman"/>
                <w:sz w:val="18"/>
              </w:rPr>
              <w:t>-0.0119 (+0.0096)</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-0.0045 (+0.0037)</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+0.0057 (+0.0064)</w:t>
            </w:r>
          </w:p>
        </w:tc>
        <w:tc>
          <w:tcPr>
            <w:tcW w:type="dxa" w:w="1337"/>
          </w:tcPr>
          <w:p>
            <w:pPr>
              <w:jc w:val="center"/>
            </w:pPr>
            <w:r>
              <w:rPr>
                <w:rFonts w:ascii="Times New Roman" w:hAnsi="Times New Roman"/>
                <w:sz w:val="18"/>
              </w:rPr>
              <w:t>0.39</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-0.0001 (+0.0034)</w:t>
            </w:r>
          </w:p>
        </w:tc>
        <w:tc>
          <w:tcPr>
            <w:tcW w:type="dxa" w:w="1337"/>
          </w:tcPr>
          <w:p>
            <w:pPr>
              <w:jc w:val="center"/>
            </w:pPr>
            <w:r>
              <w:rPr>
                <w:rFonts w:ascii="Times New Roman" w:hAnsi="Times New Roman"/>
                <w:sz w:val="18"/>
              </w:rPr>
              <w:t>0.99</w:t>
            </w:r>
          </w:p>
        </w:tc>
        <w:tc>
          <w:tcPr>
            <w:tcW w:type="dxa" w:w="1337"/>
          </w:tcPr>
          <w:p>
            <w:pPr>
              <w:jc w:val="center"/>
            </w:pPr>
            <w:r>
              <w:rPr>
                <w:rFonts w:ascii="Times New Roman" w:hAnsi="Times New Roman"/>
                <w:sz w:val="18"/>
              </w:rPr>
              <w:t>+0.0004 (+0.0043)</w:t>
            </w:r>
          </w:p>
        </w:tc>
        <w:tc>
          <w:tcPr>
            <w:tcW w:type="dxa" w:w="1337"/>
          </w:tcPr>
          <w:p>
            <w:pPr>
              <w:jc w:val="center"/>
            </w:pPr>
            <w:r>
              <w:rPr>
                <w:rFonts w:ascii="Times New Roman" w:hAnsi="Times New Roman"/>
                <w:sz w:val="18"/>
              </w:rPr>
              <w:t>0.93</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+0.0044 (+0.0027)</w:t>
            </w:r>
          </w:p>
        </w:tc>
        <w:tc>
          <w:tcPr>
            <w:tcW w:type="dxa" w:w="1337"/>
          </w:tcPr>
          <w:p>
            <w:pPr>
              <w:jc w:val="center"/>
            </w:pPr>
            <w:r>
              <w:rPr>
                <w:rFonts w:ascii="Times New Roman" w:hAnsi="Times New Roman"/>
                <w:sz w:val="18"/>
              </w:rPr>
              <w:t>0.12</w:t>
            </w:r>
          </w:p>
        </w:tc>
        <w:tc>
          <w:tcPr>
            <w:tcW w:type="dxa" w:w="1337"/>
          </w:tcPr>
          <w:p>
            <w:pPr>
              <w:jc w:val="center"/>
            </w:pPr>
            <w:r>
              <w:rPr>
                <w:rFonts w:ascii="Times New Roman" w:hAnsi="Times New Roman"/>
                <w:sz w:val="18"/>
              </w:rPr>
              <w:t>-0.0066 (+0.0032)</w:t>
            </w:r>
          </w:p>
        </w:tc>
        <w:tc>
          <w:tcPr>
            <w:tcW w:type="dxa" w:w="1337"/>
          </w:tcPr>
          <w:p>
            <w:pPr>
              <w:jc w:val="center"/>
            </w:pPr>
            <w:r>
              <w:rPr>
                <w:rFonts w:ascii="Times New Roman" w:hAnsi="Times New Roman"/>
                <w:sz w:val="18"/>
              </w:rPr>
              <w:t>0.06</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+0.0010 (+0.0028)</w:t>
            </w:r>
          </w:p>
        </w:tc>
        <w:tc>
          <w:tcPr>
            <w:tcW w:type="dxa" w:w="1337"/>
          </w:tcPr>
          <w:p>
            <w:pPr>
              <w:jc w:val="center"/>
            </w:pPr>
            <w:r>
              <w:rPr>
                <w:rFonts w:ascii="Times New Roman" w:hAnsi="Times New Roman"/>
                <w:sz w:val="18"/>
              </w:rPr>
              <w:t>0.73</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+0.0027 (+0.0016)</w:t>
            </w:r>
          </w:p>
        </w:tc>
        <w:tc>
          <w:tcPr>
            <w:tcW w:type="dxa" w:w="1337"/>
          </w:tcPr>
          <w:p>
            <w:pPr>
              <w:jc w:val="center"/>
            </w:pPr>
            <w:r>
              <w:rPr>
                <w:rFonts w:ascii="Times New Roman" w:hAnsi="Times New Roman"/>
                <w:sz w:val="18"/>
              </w:rPr>
              <w:t>0.11</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bl>
    <w:p/>
    <w:p>
      <w:pPr>
        <w:pStyle w:val="Heading1"/>
      </w:pPr>
      <w:r>
        <w:rPr>
          <w:rFonts w:ascii="Times New Roman" w:hAnsi="Times New Roman"/>
          <w:color w:val="000000"/>
        </w:rPr>
        <w:t>STROBE checklist</w:t>
      </w:r>
    </w:p>
    <w:p>
      <w:pPr>
        <w:spacing w:before="280" w:after="120"/>
      </w:pPr>
      <w:r>
        <w:rPr>
          <w:rFonts w:ascii="Times New Roman" w:hAnsi="Times New Roman"/>
          <w:b/>
          <w:sz w:val="20"/>
        </w:rPr>
        <w:t>STROBE checklist for observational cohort studies.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Item</w:t>
            </w:r>
          </w:p>
        </w:tc>
        <w:tc>
          <w:tcPr>
            <w:tcW w:type="dxa" w:w="3120"/>
          </w:tcPr>
          <w:p>
            <w:pPr>
              <w:jc w:val="center"/>
            </w:pPr>
            <w:r>
              <w:rPr>
                <w:rFonts w:ascii="Times New Roman" w:hAnsi="Times New Roman"/>
                <w:b/>
                <w:sz w:val="18"/>
              </w:rPr>
              <w:t>Description</w:t>
            </w:r>
          </w:p>
        </w:tc>
        <w:tc>
          <w:tcPr>
            <w:tcW w:type="dxa" w:w="3120"/>
          </w:tcPr>
          <w:p>
            <w:pPr>
              <w:jc w:val="center"/>
            </w:pPr>
            <w:r>
              <w:rPr>
                <w:rFonts w:ascii="Times New Roman" w:hAnsi="Times New Roman"/>
                <w:b/>
                <w:sz w:val="18"/>
              </w:rPr>
              <w:t>Reported</w:t>
            </w:r>
          </w:p>
        </w:tc>
      </w:tr>
      <w:tr>
        <w:tc>
          <w:tcPr>
            <w:tcW w:type="dxa" w:w="3120"/>
          </w:tcPr>
          <w:p>
            <w:r>
              <w:rPr>
                <w:rFonts w:ascii="Times New Roman" w:hAnsi="Times New Roman"/>
                <w:sz w:val="18"/>
              </w:rPr>
              <w:t>1</w:t>
            </w:r>
          </w:p>
        </w:tc>
        <w:tc>
          <w:tcPr>
            <w:tcW w:type="dxa" w:w="3120"/>
          </w:tcPr>
          <w:p>
            <w:pPr>
              <w:jc w:val="center"/>
            </w:pPr>
            <w:r>
              <w:rPr>
                <w:rFonts w:ascii="Times New Roman" w:hAnsi="Times New Roman"/>
                <w:sz w:val="18"/>
              </w:rPr>
              <w:t>Title and abstract indicate the study design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w:t>
            </w:r>
          </w:p>
        </w:tc>
        <w:tc>
          <w:tcPr>
            <w:tcW w:type="dxa" w:w="3120"/>
          </w:tcPr>
          <w:p>
            <w:pPr>
              <w:jc w:val="center"/>
            </w:pPr>
            <w:r>
              <w:rPr>
                <w:rFonts w:ascii="Times New Roman" w:hAnsi="Times New Roman"/>
                <w:sz w:val="18"/>
              </w:rPr>
              <w:t>Background and rationale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3</w:t>
            </w:r>
          </w:p>
        </w:tc>
        <w:tc>
          <w:tcPr>
            <w:tcW w:type="dxa" w:w="3120"/>
          </w:tcPr>
          <w:p>
            <w:pPr>
              <w:jc w:val="center"/>
            </w:pPr>
            <w:r>
              <w:rPr>
                <w:rFonts w:ascii="Times New Roman" w:hAnsi="Times New Roman"/>
                <w:sz w:val="18"/>
              </w:rPr>
              <w:t>Specific objectives and hypotheses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4</w:t>
            </w:r>
          </w:p>
        </w:tc>
        <w:tc>
          <w:tcPr>
            <w:tcW w:type="dxa" w:w="3120"/>
          </w:tcPr>
          <w:p>
            <w:pPr>
              <w:jc w:val="center"/>
            </w:pPr>
            <w:r>
              <w:rPr>
                <w:rFonts w:ascii="Times New Roman" w:hAnsi="Times New Roman"/>
                <w:sz w:val="18"/>
              </w:rPr>
              <w:t>Key elements of study design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5</w:t>
            </w:r>
          </w:p>
        </w:tc>
        <w:tc>
          <w:tcPr>
            <w:tcW w:type="dxa" w:w="3120"/>
          </w:tcPr>
          <w:p>
            <w:pPr>
              <w:jc w:val="center"/>
            </w:pPr>
            <w:r>
              <w:rPr>
                <w:rFonts w:ascii="Times New Roman" w:hAnsi="Times New Roman"/>
                <w:sz w:val="18"/>
              </w:rPr>
              <w:t>Data sources, locations and dates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6</w:t>
            </w:r>
          </w:p>
        </w:tc>
        <w:tc>
          <w:tcPr>
            <w:tcW w:type="dxa" w:w="3120"/>
          </w:tcPr>
          <w:p>
            <w:pPr>
              <w:jc w:val="center"/>
            </w:pPr>
            <w:r>
              <w:rPr>
                <w:rFonts w:ascii="Times New Roman" w:hAnsi="Times New Roman"/>
                <w:sz w:val="18"/>
              </w:rPr>
              <w:t>Eligibility and selection criteria</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7</w:t>
            </w:r>
          </w:p>
        </w:tc>
        <w:tc>
          <w:tcPr>
            <w:tcW w:type="dxa" w:w="3120"/>
          </w:tcPr>
          <w:p>
            <w:pPr>
              <w:jc w:val="center"/>
            </w:pPr>
            <w:r>
              <w:rPr>
                <w:rFonts w:ascii="Times New Roman" w:hAnsi="Times New Roman"/>
                <w:sz w:val="18"/>
              </w:rPr>
              <w:t>Definitions of outcomes, exposures and predictors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8</w:t>
            </w:r>
          </w:p>
        </w:tc>
        <w:tc>
          <w:tcPr>
            <w:tcW w:type="dxa" w:w="3120"/>
          </w:tcPr>
          <w:p>
            <w:pPr>
              <w:jc w:val="center"/>
            </w:pPr>
            <w:r>
              <w:rPr>
                <w:rFonts w:ascii="Times New Roman" w:hAnsi="Times New Roman"/>
                <w:sz w:val="18"/>
              </w:rPr>
              <w:t>Data sources and measurement methods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9</w:t>
            </w:r>
          </w:p>
        </w:tc>
        <w:tc>
          <w:tcPr>
            <w:tcW w:type="dxa" w:w="3120"/>
          </w:tcPr>
          <w:p>
            <w:pPr>
              <w:jc w:val="center"/>
            </w:pPr>
            <w:r>
              <w:rPr>
                <w:rFonts w:ascii="Times New Roman" w:hAnsi="Times New Roman"/>
                <w:sz w:val="18"/>
              </w:rPr>
              <w:t>Discussion of potential sources of bias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10</w:t>
            </w:r>
          </w:p>
        </w:tc>
        <w:tc>
          <w:tcPr>
            <w:tcW w:type="dxa" w:w="3120"/>
          </w:tcPr>
          <w:p>
            <w:pPr>
              <w:jc w:val="center"/>
            </w:pPr>
            <w:r>
              <w:rPr>
                <w:rFonts w:ascii="Times New Roman" w:hAnsi="Times New Roman"/>
                <w:sz w:val="18"/>
              </w:rPr>
              <w:t>Explanation of study size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11</w:t>
            </w:r>
          </w:p>
        </w:tc>
        <w:tc>
          <w:tcPr>
            <w:tcW w:type="dxa" w:w="3120"/>
          </w:tcPr>
          <w:p>
            <w:pPr>
              <w:jc w:val="center"/>
            </w:pPr>
            <w:r>
              <w:rPr>
                <w:rFonts w:ascii="Times New Roman" w:hAnsi="Times New Roman"/>
                <w:sz w:val="18"/>
              </w:rPr>
              <w:t>Quantitative variables: grouping and transformations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12</w:t>
            </w:r>
          </w:p>
        </w:tc>
        <w:tc>
          <w:tcPr>
            <w:tcW w:type="dxa" w:w="3120"/>
          </w:tcPr>
          <w:p>
            <w:pPr>
              <w:jc w:val="center"/>
            </w:pPr>
            <w:r>
              <w:rPr>
                <w:rFonts w:ascii="Times New Roman" w:hAnsi="Times New Roman"/>
                <w:sz w:val="18"/>
              </w:rPr>
              <w:t>Description of all statistical methods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13</w:t>
            </w:r>
          </w:p>
        </w:tc>
        <w:tc>
          <w:tcPr>
            <w:tcW w:type="dxa" w:w="3120"/>
          </w:tcPr>
          <w:p>
            <w:pPr>
              <w:jc w:val="center"/>
            </w:pPr>
            <w:r>
              <w:rPr>
                <w:rFonts w:ascii="Times New Roman" w:hAnsi="Times New Roman"/>
                <w:sz w:val="18"/>
              </w:rPr>
              <w:t>Numbers of participants at each stage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14</w:t>
            </w:r>
          </w:p>
        </w:tc>
        <w:tc>
          <w:tcPr>
            <w:tcW w:type="dxa" w:w="3120"/>
          </w:tcPr>
          <w:p>
            <w:pPr>
              <w:jc w:val="center"/>
            </w:pPr>
            <w:r>
              <w:rPr>
                <w:rFonts w:ascii="Times New Roman" w:hAnsi="Times New Roman"/>
                <w:sz w:val="18"/>
              </w:rPr>
              <w:t>Descriptive characteristics of participants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15</w:t>
            </w:r>
          </w:p>
        </w:tc>
        <w:tc>
          <w:tcPr>
            <w:tcW w:type="dxa" w:w="3120"/>
          </w:tcPr>
          <w:p>
            <w:pPr>
              <w:jc w:val="center"/>
            </w:pPr>
            <w:r>
              <w:rPr>
                <w:rFonts w:ascii="Times New Roman" w:hAnsi="Times New Roman"/>
                <w:sz w:val="18"/>
              </w:rPr>
              <w:t>Outcome data for each exposure category</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16</w:t>
            </w:r>
          </w:p>
        </w:tc>
        <w:tc>
          <w:tcPr>
            <w:tcW w:type="dxa" w:w="3120"/>
          </w:tcPr>
          <w:p>
            <w:pPr>
              <w:jc w:val="center"/>
            </w:pPr>
            <w:r>
              <w:rPr>
                <w:rFonts w:ascii="Times New Roman" w:hAnsi="Times New Roman"/>
                <w:sz w:val="18"/>
              </w:rPr>
              <w:t>Main results with measures of uncertainty</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17</w:t>
            </w:r>
          </w:p>
        </w:tc>
        <w:tc>
          <w:tcPr>
            <w:tcW w:type="dxa" w:w="3120"/>
          </w:tcPr>
          <w:p>
            <w:pPr>
              <w:jc w:val="center"/>
            </w:pPr>
            <w:r>
              <w:rPr>
                <w:rFonts w:ascii="Times New Roman" w:hAnsi="Times New Roman"/>
                <w:sz w:val="18"/>
              </w:rPr>
              <w:t>Other analyses (sensitivity and subgroup)</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18</w:t>
            </w:r>
          </w:p>
        </w:tc>
        <w:tc>
          <w:tcPr>
            <w:tcW w:type="dxa" w:w="3120"/>
          </w:tcPr>
          <w:p>
            <w:pPr>
              <w:jc w:val="center"/>
            </w:pPr>
            <w:r>
              <w:rPr>
                <w:rFonts w:ascii="Times New Roman" w:hAnsi="Times New Roman"/>
                <w:sz w:val="18"/>
              </w:rPr>
              <w:t>Summary of key results with reference to objectives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19</w:t>
            </w:r>
          </w:p>
        </w:tc>
        <w:tc>
          <w:tcPr>
            <w:tcW w:type="dxa" w:w="3120"/>
          </w:tcPr>
          <w:p>
            <w:pPr>
              <w:jc w:val="center"/>
            </w:pPr>
            <w:r>
              <w:rPr>
                <w:rFonts w:ascii="Times New Roman" w:hAnsi="Times New Roman"/>
                <w:sz w:val="18"/>
              </w:rPr>
              <w:t>Limitations of bias and imprecision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20</w:t>
            </w:r>
          </w:p>
        </w:tc>
        <w:tc>
          <w:tcPr>
            <w:tcW w:type="dxa" w:w="3120"/>
          </w:tcPr>
          <w:p>
            <w:pPr>
              <w:jc w:val="center"/>
            </w:pPr>
            <w:r>
              <w:rPr>
                <w:rFonts w:ascii="Times New Roman" w:hAnsi="Times New Roman"/>
                <w:sz w:val="18"/>
              </w:rPr>
              <w:t>Cautious overall interpretation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21</w:t>
            </w:r>
          </w:p>
        </w:tc>
        <w:tc>
          <w:tcPr>
            <w:tcW w:type="dxa" w:w="3120"/>
          </w:tcPr>
          <w:p>
            <w:pPr>
              <w:jc w:val="center"/>
            </w:pPr>
            <w:r>
              <w:rPr>
                <w:rFonts w:ascii="Times New Roman" w:hAnsi="Times New Roman"/>
                <w:sz w:val="18"/>
              </w:rPr>
              <w:t>Generalisability to other populations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22</w:t>
            </w:r>
          </w:p>
        </w:tc>
        <w:tc>
          <w:tcPr>
            <w:tcW w:type="dxa" w:w="3120"/>
          </w:tcPr>
          <w:p>
            <w:pPr>
              <w:jc w:val="center"/>
            </w:pPr>
            <w:r>
              <w:rPr>
                <w:rFonts w:ascii="Times New Roman" w:hAnsi="Times New Roman"/>
                <w:sz w:val="18"/>
              </w:rPr>
              <w:t>Registration, protocol, funding, data and code availability</w:t>
            </w:r>
          </w:p>
        </w:tc>
        <w:tc>
          <w:tcPr>
            <w:tcW w:type="dxa" w:w="3120"/>
          </w:tcPr>
          <w:p>
            <w:pPr>
              <w:jc w:val="center"/>
            </w:pPr>
            <w:r>
              <w:rPr>
                <w:rFonts w:ascii="Times New Roman" w:hAnsi="Times New Roman"/>
                <w:sz w:val="18"/>
              </w:rPr>
              <w:t>Yes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