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Highlights</w:t>
      </w:r>
    </w:p>
    <w:p>
      <w:pPr>
        <w:pStyle w:val="ListBullet"/>
      </w:pPr>
      <w:r>
        <w:rPr>
          <w:rFonts w:ascii="Times New Roman" w:hAnsi="Times New Roman"/>
          <w:sz w:val="24"/>
        </w:rPr>
        <w:t>Closed-form optimal noise model accuracy derived via stochastic resonance theory.</w:t>
      </w:r>
    </w:p>
    <w:p>
      <w:pPr>
        <w:pStyle w:val="ListBullet"/>
      </w:pPr>
      <w:r>
        <w:rPr>
          <w:rFonts w:ascii="Times New Roman" w:hAnsi="Times New Roman"/>
          <w:sz w:val="24"/>
        </w:rPr>
        <w:t>Five-parameter physics-informed noise model enables DVS noise inverse problem.</w:t>
      </w:r>
    </w:p>
    <w:p>
      <w:pPr>
        <w:pStyle w:val="ListBullet"/>
      </w:pPr>
      <w:r>
        <w:rPr>
          <w:rFonts w:ascii="Times New Roman" w:hAnsi="Times New Roman"/>
          <w:sz w:val="24"/>
        </w:rPr>
        <w:t>Fano-factor classifier achieves ROC-AUC 0.866 with 93.9% signal preservation.</w:t>
      </w:r>
    </w:p>
    <w:p>
      <w:pPr>
        <w:pStyle w:val="ListBullet"/>
      </w:pPr>
      <w:r>
        <w:rPr>
          <w:rFonts w:ascii="Times New Roman" w:hAnsi="Times New Roman"/>
          <w:sz w:val="24"/>
        </w:rPr>
        <w:t>Six-tier calibration with satellite-trail tier for in-operation verification.</w:t>
      </w:r>
    </w:p>
    <w:p>
      <w:pPr>
        <w:pStyle w:val="ListBullet"/>
      </w:pPr>
      <w:r>
        <w:rPr>
          <w:rFonts w:ascii="Times New Roman" w:hAnsi="Times New Roman"/>
          <w:sz w:val="24"/>
        </w:rPr>
        <w:t>Proof-of-concept: 90.3% noise removal with satellite trajectory recovery.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