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and hospital supply.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incentives—training costs, fee-for-service income, and status-quo bias—appear to keep physicians in high-risk fields. Reducing civil litigation exposure is therefore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 (Yamaguchi et al., 2020)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therefore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 Ministry of Health, Labour and Welfare, 2024)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 closed malpractice claims by specialty from the Supreme Court of Japan (Supreme Court of Japan, 2024); and hospital counts by specialty from the annual Survey of Medical Institutions. (Ministry of Health, Labour and Welfare, 2024) Two sensitivity series were also used: annual medical accident investigation reports by specialty from the Japan Medical Safety Research Organisation (JMSR, 2015-2024)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38.8% of physicians in the third to fifth year after medical registration in 2014,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 and Supplementary Table 9.</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jc w:val="center"/>
      </w:pPr>
      <w:r>
        <w:rPr>
          <w:rFonts w:ascii="Times New Roman" w:hAnsi="Times New Roman"/>
          <w:i/>
          <w:sz w:val="20"/>
        </w:rPr>
        <w:t>Table 1 about here</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jc w:val="center"/>
      </w:pPr>
      <w:r>
        <w:rPr>
          <w:rFonts w:ascii="Times New Roman" w:hAnsi="Times New Roman"/>
          <w:i/>
          <w:sz w:val="20"/>
        </w:rPr>
        <w:t>Figure 1 about here</w:t>
      </w:r>
    </w:p>
    <w:p>
      <w:pPr>
        <w:jc w:val="center"/>
      </w:pPr>
      <w:r>
        <w:rPr>
          <w:rFonts w:ascii="Times New Roman" w:hAnsi="Times New Roman"/>
          <w:i/>
          <w:sz w:val="20"/>
        </w:rPr>
        <w:t>Table 2 about here</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therefore treat it as exploratory and do not interpret it as a causal policy effect.</w:t>
      </w:r>
    </w:p>
    <w:p>
      <w:pPr>
        <w:jc w:val="center"/>
      </w:pPr>
      <w:r>
        <w:rPr>
          <w:rFonts w:ascii="Times New Roman" w:hAnsi="Times New Roman"/>
          <w:i/>
          <w:sz w:val="20"/>
        </w:rPr>
        <w:t>Figure 2 about here</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jc w:val="center"/>
      </w:pPr>
      <w:r>
        <w:rPr>
          <w:rFonts w:ascii="Times New Roman" w:hAnsi="Times New Roman"/>
          <w:i/>
          <w:sz w:val="20"/>
        </w:rPr>
        <w:t>Figure 3 about here</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(Medical Accident Investigation System, 2015)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jc w:val="center"/>
      </w:pPr>
      <w:r>
        <w:rPr>
          <w:rFonts w:ascii="Times New Roman" w:hAnsi="Times New Roman"/>
          <w:i/>
          <w:sz w:val="20"/>
        </w:rPr>
        <w:t>Figure 4 about here</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Understanding why litigation risk does not shape specialty supply requires moving from individual risk perception to the institutional architecture of career choice. In Japan, medical graduates do not freely select a specialty in response to annual lawsuit probabilities; they enter a residency training system that channels them into one of the primary specialties and then into subspecialty programmes. Once on that path, the costs of switching are large: foregone fellowship income, loss of seniority, and disruption of professional identity. These features generate powerful status-quo bias. Samuelson and Zeckhauser showed that decision makers disproportionately stick with the status quo when alternatives are risky and when switching is costly, even when the status quo is not objectively superior. (Samuelson and Zeckhauser, 1988) In specialist medicine, the status quo is also the income-maximising option for high-acuity procedural work, because fee-for-service reimbursement rewards the very activities that carry litigation exposure. The result is that risk perception may influence the intensive margin of behaviour—how physicians practise—without changing the extensive margin of whether they remain in the specialty. This is consistent with the broader behavioural finding that loss aversion and status-quo bias can dominate small-probability risks when the alternative to the current path is seen as a sure loss. (Kahneman and Tversky, 1979)</w:t>
      </w:r>
    </w:p>
    <w:p>
      <w:pPr>
        <w:spacing w:line="480" w:lineRule="auto" w:after="120"/>
      </w:pPr>
      <w:r>
        <w:rPr>
          <w:rFonts w:ascii="Times New Roman" w:hAnsi="Times New Roman"/>
          <w:b w:val="0"/>
          <w:i w:val="0"/>
          <w:sz w:val="24"/>
        </w:rPr>
        <w:t>For policymakers, the lesson is that litigation-avoidance campaigns are a weak instrument compared with redesigning the choice architecture that physicians face. Defaults can be shifted in several ways. No-fault compensation schemes remove the adversarial framing of patient injury and reduce the tail risk of large damages, thereby altering the perceived loss distribution without changing the legal standard of care. New Zealand and the Nordic countries have long used administrative compensation to separate redress from blame, and Japan's JOCS-CP extends this logic to obstetric cerebral palsy. (Bismark and Paterson, 2006; Mello, Kachalia and Studdert, 2011; Hasegawa et al., 2016) Payment design is a second lever: relative values for rural or high-acuity services can raise the expected income of unpopular specialties, offsetting any perceived litigation penalty. Training subsidies, loan forgiveness, and guaranteed fellowship positions can lower the entry cost into high-risk fields and create a new default for entrants. These interventions operate on the payoff structure and opportunity costs that actually determine long-run supply. By contrast, simply publicising that malpractice claims are rare is unlikely to override the availability heuristic that makes vivid cases salient, or the status-quo bias that keeps established specialists in place. Behavioural public policy is therefore better served by structural redesign than by risk communication alone. (Lin et al., 2022)</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therefore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References</w:t>
      </w:r>
    </w:p>
    <w:p>
      <w:pPr>
        <w:spacing w:line="360" w:lineRule="auto"/>
      </w:pPr>
      <w:r>
        <w:rPr>
          <w:rFonts w:ascii="Times New Roman" w:hAnsi="Times New Roman"/>
          <w:sz w:val="20"/>
        </w:rPr>
        <w:t>Angrist, J.D. and Pischke, J.S. (2009), Mostly Harmless Econometrics. Princeton University Press, Princeton.</w:t>
      </w:r>
    </w:p>
    <w:p>
      <w:pPr>
        <w:spacing w:line="360" w:lineRule="auto"/>
      </w:pPr>
      <w:r>
        <w:rPr>
          <w:rFonts w:ascii="Times New Roman" w:hAnsi="Times New Roman"/>
          <w:sz w:val="20"/>
        </w:rPr>
        <w:t>Bismark, M. and Paterson, R. (2006), No-fault compensation in New Zealand: harmonizing injury compensation, provider accountability, and patient safety. Health Aff. 25 (1), 278-286.</w:t>
      </w:r>
    </w:p>
    <w:p>
      <w:pPr>
        <w:spacing w:line="360" w:lineRule="auto"/>
      </w:pPr>
      <w:r>
        <w:rPr>
          <w:rFonts w:ascii="Times New Roman" w:hAnsi="Times New Roman"/>
          <w:sz w:val="20"/>
        </w:rPr>
        <w:t>Cameron, A.C. and Miller, D.L. (2015), A practitioner's guide to cluster-robust inference. J Hum Resour. 50 (2), 317-372.</w:t>
      </w:r>
    </w:p>
    <w:p>
      <w:pPr>
        <w:spacing w:line="360" w:lineRule="auto"/>
      </w:pPr>
      <w:r>
        <w:rPr>
          <w:rFonts w:ascii="Times New Roman" w:hAnsi="Times New Roman"/>
          <w:sz w:val="20"/>
        </w:rPr>
        <w:t>Frakes, M.D., Frank, M.B. and Seabury, S.A. (2020), The effect of malpractice law on physician supply: Evidence from negligence-standard reforms. J Health Econ. 70, 1-16.</w:t>
      </w:r>
    </w:p>
    <w:p>
      <w:pPr>
        <w:spacing w:line="360" w:lineRule="auto"/>
      </w:pPr>
      <w:r>
        <w:rPr>
          <w:rFonts w:ascii="Times New Roman" w:hAnsi="Times New Roman"/>
          <w:sz w:val="20"/>
        </w:rPr>
        <w:t>Hasegawa, J., Toyokawa, S., Ikenoue, T., et al. (2016), Relevant obstetric factors for cerebral palsy: from the Nationwide Obstetric Compensation System in Japan. PLoS One. 11 (1), e0148122.</w:t>
      </w:r>
    </w:p>
    <w:p>
      <w:pPr>
        <w:spacing w:line="360" w:lineRule="auto"/>
      </w:pPr>
      <w:r>
        <w:rPr>
          <w:rFonts w:ascii="Times New Roman" w:hAnsi="Times New Roman"/>
          <w:sz w:val="20"/>
        </w:rPr>
        <w:t>Helland, E. and Seabury, S.A. (2015), Tort reform and physician labor supply: a review of the evidence. Int Rev Law Econ. 42, 192-202.</w:t>
      </w:r>
    </w:p>
    <w:p>
      <w:pPr>
        <w:spacing w:line="360" w:lineRule="auto"/>
      </w:pPr>
      <w:r>
        <w:rPr>
          <w:rFonts w:ascii="Times New Roman" w:hAnsi="Times New Roman"/>
          <w:sz w:val="20"/>
        </w:rPr>
        <w:t>Hiyama, T., et al. (2006), Defensive medicine and malpractice concern in Japan. J Clin Gastroenterol. 40 (9), 779-780.</w:t>
      </w:r>
    </w:p>
    <w:p>
      <w:pPr>
        <w:spacing w:line="360" w:lineRule="auto"/>
      </w:pPr>
      <w:r>
        <w:rPr>
          <w:rFonts w:ascii="Times New Roman" w:hAnsi="Times New Roman"/>
          <w:sz w:val="20"/>
        </w:rPr>
        <w:t>Hyman, D.A., Silver, C., Black, B. and Paik, M. (2015), Does tort reform affect physician supply? Evidence from Texas. Int Rev Law Econ. 42, 203-218.</w:t>
      </w:r>
    </w:p>
    <w:p>
      <w:pPr>
        <w:spacing w:line="360" w:lineRule="auto"/>
      </w:pPr>
      <w:r>
        <w:rPr>
          <w:rFonts w:ascii="Times New Roman" w:hAnsi="Times New Roman"/>
          <w:sz w:val="20"/>
        </w:rPr>
        <w:t>Japan Council for Quality Health Care (2009), Japan Obstetric Compensation System for Cerebral Palsy. Japan Council for Quality Health Care, Tokyo.</w:t>
      </w:r>
    </w:p>
    <w:p>
      <w:pPr>
        <w:spacing w:line="360" w:lineRule="auto"/>
      </w:pPr>
      <w:r>
        <w:rPr>
          <w:rFonts w:ascii="Times New Roman" w:hAnsi="Times New Roman"/>
          <w:sz w:val="20"/>
        </w:rPr>
        <w:t>Japan Medical Safety Research Organisation (2025), Annual reports of medical accident investigations (2015-2024). JMSR, Tokyo.</w:t>
      </w:r>
    </w:p>
    <w:p>
      <w:pPr>
        <w:spacing w:line="360" w:lineRule="auto"/>
      </w:pPr>
      <w:r>
        <w:rPr>
          <w:rFonts w:ascii="Times New Roman" w:hAnsi="Times New Roman"/>
          <w:sz w:val="20"/>
        </w:rPr>
        <w:t>Kahneman, D. and Tversky, A. (1979), Prospect theory: an analysis of decision under risk. Econometrica. 47 (2), 263-291.</w:t>
      </w:r>
    </w:p>
    <w:p>
      <w:pPr>
        <w:spacing w:line="360" w:lineRule="auto"/>
      </w:pPr>
      <w:r>
        <w:rPr>
          <w:rFonts w:ascii="Times New Roman" w:hAnsi="Times New Roman"/>
          <w:sz w:val="20"/>
        </w:rPr>
        <w:t>Kamijo, K., Wada, Y., Ishida, K., Warsof, S.L., Saade, G. and Kawakita, T. (2025), Medical-legal claims in obstetrics and gynecology: Japan versus the United States. J Healthc Risk Manag. 44 (4), 5-11. doi:10.1002/jhrm.70001.</w:t>
      </w:r>
    </w:p>
    <w:p>
      <w:pPr>
        <w:spacing w:line="360" w:lineRule="auto"/>
      </w:pPr>
      <w:r>
        <w:rPr>
          <w:rFonts w:ascii="Times New Roman" w:hAnsi="Times New Roman"/>
          <w:sz w:val="20"/>
        </w:rPr>
        <w:t>Kessler, D.P. and McClellan, M.B. (1996), Do doctors practice defensive medicine? Q J Econ. 111 (2), 353-390.</w:t>
      </w:r>
    </w:p>
    <w:p>
      <w:pPr>
        <w:spacing w:line="360" w:lineRule="auto"/>
      </w:pPr>
      <w:r>
        <w:rPr>
          <w:rFonts w:ascii="Times New Roman" w:hAnsi="Times New Roman"/>
          <w:sz w:val="20"/>
        </w:rPr>
        <w:t>Lakens, D. (2017), Equivalence tests: a practical primer for t tests, correlations, and meta-analyses. Soc Psychol Personal Sci. 8 (4), 355-362.</w:t>
      </w:r>
    </w:p>
    <w:p>
      <w:pPr>
        <w:spacing w:line="360" w:lineRule="auto"/>
      </w:pPr>
      <w:r>
        <w:rPr>
          <w:rFonts w:ascii="Times New Roman" w:hAnsi="Times New Roman"/>
          <w:sz w:val="20"/>
        </w:rPr>
        <w:t>Lin, P.L., Huang, J.P., Fujii, T., Cho, E.H. and Huang, M.C. (2022), A survey of specialty choice among obstetrics and gynecology residents in Japan, Korea, and Taiwan. J Obstet Gynaecol Res. 48 (7), 1968-1977.</w:t>
      </w:r>
    </w:p>
    <w:p>
      <w:pPr>
        <w:spacing w:line="360" w:lineRule="auto"/>
      </w:pPr>
      <w:r>
        <w:rPr>
          <w:rFonts w:ascii="Times New Roman" w:hAnsi="Times New Roman"/>
          <w:sz w:val="20"/>
        </w:rPr>
        <w:t>Matsa, D.A. (2007), Does malpractice liability keep the doctor away? Evidence from tort reform damage caps. J Legal Stud. 36 (S2), S143-S182.</w:t>
      </w:r>
    </w:p>
    <w:p>
      <w:pPr>
        <w:spacing w:line="360" w:lineRule="auto"/>
      </w:pPr>
      <w:r>
        <w:rPr>
          <w:rFonts w:ascii="Times New Roman" w:hAnsi="Times New Roman"/>
          <w:sz w:val="20"/>
        </w:rPr>
        <w:t>Medical Accident Investigation System (2015), Act on the Promotion of Medical Safety. Ministry of Health, Labour and Welfare, Tokyo.</w:t>
      </w:r>
    </w:p>
    <w:p>
      <w:pPr>
        <w:spacing w:line="360" w:lineRule="auto"/>
      </w:pPr>
      <w:r>
        <w:rPr>
          <w:rFonts w:ascii="Times New Roman" w:hAnsi="Times New Roman"/>
          <w:sz w:val="20"/>
        </w:rPr>
        <w:t>Mello, M.M., Kachalia, A. and Studdert, D.M. (2011), Administrative compensation for medical injuries: lessons from three foreign systems. The Commonwealth Fund, New York.</w:t>
      </w:r>
    </w:p>
    <w:p>
      <w:pPr>
        <w:spacing w:line="360" w:lineRule="auto"/>
      </w:pPr>
      <w:r>
        <w:rPr>
          <w:rFonts w:ascii="Times New Roman" w:hAnsi="Times New Roman"/>
          <w:sz w:val="20"/>
        </w:rPr>
        <w:t>Ministry of Health, Labour and Welfare (2015), 医籍登録後３～５年目の医師数（主たる診療科別）. MHLW, Tokyo. (Accessed 15 August 2026). Available at: https://www.mhlw.go.jp/file/06-Seisakujouhou-10800000-Iseikyoku/323.pdf.</w:t>
      </w:r>
    </w:p>
    <w:p>
      <w:pPr>
        <w:spacing w:line="360" w:lineRule="auto"/>
      </w:pPr>
      <w:r>
        <w:rPr>
          <w:rFonts w:ascii="Times New Roman" w:hAnsi="Times New Roman"/>
          <w:sz w:val="20"/>
        </w:rPr>
        <w:t>Ministry of Health, Labour and Welfare (2018), 新専門医制度における専攻医の採用状況等について（平成30年度新専門医制度スタートに向けて）. MHLW, Tokyo. (Accessed 15 August 2026). Available at: https://www.mhlw.go.jp/content/10803000/000452411.pdf.</w:t>
      </w:r>
    </w:p>
    <w:p>
      <w:pPr>
        <w:spacing w:line="360" w:lineRule="auto"/>
      </w:pPr>
      <w:r>
        <w:rPr>
          <w:rFonts w:ascii="Times New Roman" w:hAnsi="Times New Roman"/>
          <w:sz w:val="20"/>
        </w:rPr>
        <w:t>Ministry of Health, Labour and Welfare (2024), Statistics of Physicians, Dentists and Pharmacists. MHLW, Tokyo. (Accessed 11 August 2026). Available at: https://www.mhlw.go.jp/english/database/db-hw/.</w:t>
      </w:r>
    </w:p>
    <w:p>
      <w:pPr>
        <w:spacing w:line="360" w:lineRule="auto"/>
      </w:pPr>
      <w:r>
        <w:rPr>
          <w:rFonts w:ascii="Times New Roman" w:hAnsi="Times New Roman"/>
          <w:sz w:val="20"/>
        </w:rPr>
        <w:t>Ministry of Health, Labour and Welfare (2024), Survey of Medical Institutions (Dynamic). MHLW, Tokyo. (Accessed 11 August 2026). Available at: https://www.mhlw.go.jp/english/database/db-hw/.</w:t>
      </w:r>
    </w:p>
    <w:p>
      <w:pPr>
        <w:spacing w:line="360" w:lineRule="auto"/>
      </w:pPr>
      <w:r>
        <w:rPr>
          <w:rFonts w:ascii="Times New Roman" w:hAnsi="Times New Roman"/>
          <w:sz w:val="20"/>
        </w:rPr>
        <w:t>Morita, H. (2018), Criminal prosecution and physician supply. Int Rev Law Econ. 55, 1-11.</w:t>
      </w:r>
    </w:p>
    <w:p>
      <w:pPr>
        <w:spacing w:line="360" w:lineRule="auto"/>
      </w:pPr>
      <w:r>
        <w:rPr>
          <w:rFonts w:ascii="Times New Roman" w:hAnsi="Times New Roman"/>
          <w:sz w:val="20"/>
        </w:rPr>
        <w:t>Nikkei Inc (2024), Nikkei Telecom 21. Nikkei Inc, Tokyo. Available at: https://telecom21.nikkei.co.jp/ (Accessed 2024).</w:t>
      </w:r>
    </w:p>
    <w:p>
      <w:pPr>
        <w:spacing w:line="360" w:lineRule="auto"/>
      </w:pPr>
      <w:r>
        <w:rPr>
          <w:rFonts w:ascii="Times New Roman" w:hAnsi="Times New Roman"/>
          <w:sz w:val="20"/>
        </w:rPr>
        <w:t>Samuelson, W. and Zeckhauser, R. (1988), Status quo bias in decision making. J Risk Uncertain. 1 (1), 7-59.</w:t>
      </w:r>
    </w:p>
    <w:p>
      <w:pPr>
        <w:spacing w:line="360" w:lineRule="auto"/>
      </w:pPr>
      <w:r>
        <w:rPr>
          <w:rFonts w:ascii="Times New Roman" w:hAnsi="Times New Roman"/>
          <w:sz w:val="20"/>
        </w:rPr>
        <w:t>Schuirmann, D.J. (1987), A comparison of the two one-sided tests procedure and the power approach for assessing the equivalence of average bioavailability. J Pharmacokinet Biopharm. 15 (6), 657-680.</w:t>
      </w:r>
    </w:p>
    <w:p>
      <w:pPr>
        <w:spacing w:line="360" w:lineRule="auto"/>
      </w:pPr>
      <w:r>
        <w:rPr>
          <w:rFonts w:ascii="Times New Roman" w:hAnsi="Times New Roman"/>
          <w:sz w:val="20"/>
        </w:rPr>
        <w:t>Sloan, F.A. and Shadle, J.H. (2008), Is there empirical evidence for "Defensive Medicine"? A reassessment. J Health Econ. 27 (2), 481-491.</w:t>
      </w:r>
    </w:p>
    <w:p>
      <w:pPr>
        <w:spacing w:line="360" w:lineRule="auto"/>
      </w:pPr>
      <w:r>
        <w:rPr>
          <w:rFonts w:ascii="Times New Roman" w:hAnsi="Times New Roman"/>
          <w:sz w:val="20"/>
        </w:rPr>
        <w:t>Studdert, D.M., Mello, M.M. and Brennan, T.A. (2004), Medical malpractice. N Engl J Med. 350 (3), 283-292.</w:t>
      </w:r>
    </w:p>
    <w:p>
      <w:pPr>
        <w:spacing w:line="360" w:lineRule="auto"/>
      </w:pPr>
      <w:r>
        <w:rPr>
          <w:rFonts w:ascii="Times New Roman" w:hAnsi="Times New Roman"/>
          <w:sz w:val="20"/>
        </w:rPr>
        <w:t>Supreme Court of Japan, Committee on Medical Litigation (2024), Statistics on medical malpractice litigation (closed cases by specialty). Supreme Court of Japan, Tokyo. (Accessed 11 August 2026). Available at: https://www.courts.go.jp/.</w:t>
      </w:r>
    </w:p>
    <w:p>
      <w:pPr>
        <w:spacing w:line="360" w:lineRule="auto"/>
      </w:pPr>
      <w:r>
        <w:rPr>
          <w:rFonts w:ascii="Times New Roman" w:hAnsi="Times New Roman"/>
          <w:sz w:val="20"/>
        </w:rPr>
        <w:t>Taniguchi, K., Watari, T. and Nagoshi, K. (2023), Characteristics and trends of medical malpractice claims in Japan between 2006 and 2021. PLoS One. 18 (12), e0296155.</w:t>
      </w:r>
    </w:p>
    <w:p>
      <w:pPr>
        <w:spacing w:line="360" w:lineRule="auto"/>
      </w:pPr>
      <w:r>
        <w:rPr>
          <w:rFonts w:ascii="Times New Roman" w:hAnsi="Times New Roman"/>
          <w:sz w:val="20"/>
        </w:rPr>
        <w:t>Tversky, A. and Kahneman, D. (1973), Availability: a heuristic for judging frequency and probability. Cogn Psychol. 5 (2), 207-232.</w:t>
      </w:r>
    </w:p>
    <w:p>
      <w:pPr>
        <w:spacing w:line="360" w:lineRule="auto"/>
      </w:pPr>
      <w:r>
        <w:rPr>
          <w:rFonts w:ascii="Times New Roman" w:hAnsi="Times New Roman"/>
          <w:sz w:val="20"/>
        </w:rPr>
        <w:t>von Elm, E., Altman, D.G., Egger, M., et al. (2007), The STROBE statement. Lancet. 370 (9596), 1453-1457.</w:t>
      </w:r>
    </w:p>
    <w:p>
      <w:pPr>
        <w:spacing w:line="360" w:lineRule="auto"/>
      </w:pPr>
      <w:r>
        <w:rPr>
          <w:rFonts w:ascii="Times New Roman" w:hAnsi="Times New Roman"/>
          <w:sz w:val="20"/>
        </w:rPr>
        <w:t>Yamaguchi, S., et al. (2020), Regional and specialty maldistribution of physicians in Japan. J Epidemiol. 30 (1), 1-8.</w:t>
      </w:r>
    </w:p>
    <w:p>
      <w:r>
        <w:br w:type="page"/>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r>
        <w:br w:type="page"/>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r>
        <w:br w:type="page"/>
      </w:r>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in the title page.</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