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four pre-specified sensitivity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analyses for maximum plausible audit impact, within-prefecture variance decomposition, code correlations and a log-transformed linear mixed model 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3262 words; structured abstract 231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