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78D340" w14:textId="77777777" w:rsidR="00994014" w:rsidRDefault="00994014" w:rsidP="00994014">
      <w:pPr>
        <w:pStyle w:val="p1"/>
        <w:jc w:val="center"/>
        <w:rPr>
          <w:rFonts w:asciiTheme="majorHAnsi" w:hAnsiTheme="majorHAnsi"/>
          <w:i/>
          <w:iCs/>
        </w:rPr>
      </w:pPr>
      <w:r w:rsidRPr="00994014">
        <w:rPr>
          <w:rFonts w:asciiTheme="majorHAnsi" w:hAnsiTheme="majorHAnsi"/>
          <w:i/>
          <w:iCs/>
        </w:rPr>
        <w:t xml:space="preserve">Network Exclusion and State Collapse: </w:t>
      </w:r>
    </w:p>
    <w:p w14:paraId="10CE8F48" w14:textId="17CF0829" w:rsidR="00994014" w:rsidRDefault="00994014" w:rsidP="00994014">
      <w:pPr>
        <w:pStyle w:val="p1"/>
        <w:jc w:val="center"/>
        <w:rPr>
          <w:rFonts w:asciiTheme="majorHAnsi" w:hAnsiTheme="majorHAnsi"/>
          <w:i/>
          <w:iCs/>
        </w:rPr>
      </w:pPr>
      <w:r w:rsidRPr="00994014">
        <w:rPr>
          <w:rFonts w:asciiTheme="majorHAnsi" w:hAnsiTheme="majorHAnsi"/>
          <w:i/>
          <w:iCs/>
        </w:rPr>
        <w:t>From Maritime</w:t>
      </w:r>
      <w:r w:rsidRPr="00994014">
        <w:rPr>
          <w:rFonts w:asciiTheme="majorHAnsi" w:hAnsiTheme="majorHAnsi"/>
          <w:i/>
          <w:iCs/>
        </w:rPr>
        <w:t xml:space="preserve"> </w:t>
      </w:r>
      <w:r w:rsidRPr="00994014">
        <w:rPr>
          <w:rFonts w:asciiTheme="majorHAnsi" w:hAnsiTheme="majorHAnsi"/>
          <w:i/>
          <w:iCs/>
        </w:rPr>
        <w:t>Isolation to Technological Access Denial in the Long Run of</w:t>
      </w:r>
      <w:r w:rsidRPr="00994014">
        <w:rPr>
          <w:rFonts w:asciiTheme="majorHAnsi" w:hAnsiTheme="majorHAnsi"/>
          <w:i/>
          <w:iCs/>
        </w:rPr>
        <w:t xml:space="preserve"> </w:t>
      </w:r>
      <w:r w:rsidRPr="00994014">
        <w:rPr>
          <w:rFonts w:asciiTheme="majorHAnsi" w:hAnsiTheme="majorHAnsi"/>
          <w:i/>
          <w:iCs/>
        </w:rPr>
        <w:t>History</w:t>
      </w:r>
    </w:p>
    <w:p w14:paraId="25DAF6EA" w14:textId="3C11E404" w:rsidR="00994014" w:rsidRDefault="00994014" w:rsidP="00994014">
      <w:pPr>
        <w:pStyle w:val="p1"/>
        <w:jc w:val="center"/>
        <w:rPr>
          <w:rFonts w:asciiTheme="majorHAnsi" w:hAnsiTheme="majorHAnsi"/>
        </w:rPr>
      </w:pPr>
      <w:r>
        <w:rPr>
          <w:rFonts w:asciiTheme="majorHAnsi" w:hAnsiTheme="majorHAnsi"/>
        </w:rPr>
        <w:t>Referee Report</w:t>
      </w:r>
    </w:p>
    <w:p w14:paraId="5F601509" w14:textId="77777777" w:rsidR="00994014" w:rsidRDefault="00994014" w:rsidP="00994014">
      <w:pPr>
        <w:pStyle w:val="p1"/>
        <w:jc w:val="center"/>
        <w:rPr>
          <w:rFonts w:asciiTheme="majorHAnsi" w:hAnsiTheme="majorHAnsi"/>
        </w:rPr>
      </w:pPr>
    </w:p>
    <w:p w14:paraId="0988F328" w14:textId="5FBCA756" w:rsidR="00994014" w:rsidRDefault="00994014" w:rsidP="00994014">
      <w:pPr>
        <w:pStyle w:val="p1"/>
        <w:jc w:val="both"/>
        <w:rPr>
          <w:rFonts w:asciiTheme="majorHAnsi" w:hAnsiTheme="majorHAnsi"/>
        </w:rPr>
      </w:pPr>
      <w:r>
        <w:rPr>
          <w:rFonts w:asciiTheme="majorHAnsi" w:hAnsiTheme="majorHAnsi"/>
        </w:rPr>
        <w:t xml:space="preserve">I read this paper with great interest. This is a fascinating research question, and it would be a great fit for </w:t>
      </w:r>
      <w:r w:rsidRPr="00994014">
        <w:rPr>
          <w:rFonts w:asciiTheme="majorHAnsi" w:hAnsiTheme="majorHAnsi"/>
          <w:i/>
          <w:iCs/>
        </w:rPr>
        <w:t>Public Choice</w:t>
      </w:r>
      <w:r>
        <w:rPr>
          <w:rFonts w:asciiTheme="majorHAnsi" w:hAnsiTheme="majorHAnsi"/>
          <w:i/>
          <w:iCs/>
        </w:rPr>
        <w:t xml:space="preserve">. </w:t>
      </w:r>
      <w:r>
        <w:rPr>
          <w:rFonts w:asciiTheme="majorHAnsi" w:hAnsiTheme="majorHAnsi"/>
        </w:rPr>
        <w:t xml:space="preserve">Yet, I believe this version of the paper is not ready for publication, for the reasons I describe below. </w:t>
      </w:r>
    </w:p>
    <w:p w14:paraId="518B57AB" w14:textId="77777777" w:rsidR="00994014" w:rsidRDefault="00994014" w:rsidP="00994014">
      <w:pPr>
        <w:pStyle w:val="p1"/>
        <w:jc w:val="both"/>
        <w:rPr>
          <w:rFonts w:asciiTheme="majorHAnsi" w:hAnsiTheme="majorHAnsi"/>
        </w:rPr>
      </w:pPr>
    </w:p>
    <w:p w14:paraId="2E90CC47" w14:textId="77777777" w:rsidR="007A5AD1" w:rsidRDefault="00994014" w:rsidP="00994014">
      <w:pPr>
        <w:pStyle w:val="p1"/>
        <w:numPr>
          <w:ilvl w:val="0"/>
          <w:numId w:val="2"/>
        </w:numPr>
        <w:jc w:val="both"/>
        <w:rPr>
          <w:rFonts w:asciiTheme="majorHAnsi" w:hAnsiTheme="majorHAnsi"/>
        </w:rPr>
      </w:pPr>
      <w:r w:rsidRPr="007A5AD1">
        <w:rPr>
          <w:rFonts w:asciiTheme="majorHAnsi" w:hAnsiTheme="majorHAnsi"/>
        </w:rPr>
        <w:t xml:space="preserve">While reading the introduction, the first page does a good job setting the stage and motivating the question, but once it progresses, I felt lost about what was </w:t>
      </w:r>
      <w:proofErr w:type="gramStart"/>
      <w:r w:rsidRPr="007A5AD1">
        <w:rPr>
          <w:rFonts w:asciiTheme="majorHAnsi" w:hAnsiTheme="majorHAnsi"/>
        </w:rPr>
        <w:t>actually being</w:t>
      </w:r>
      <w:proofErr w:type="gramEnd"/>
      <w:r w:rsidRPr="007A5AD1">
        <w:rPr>
          <w:rFonts w:asciiTheme="majorHAnsi" w:hAnsiTheme="majorHAnsi"/>
        </w:rPr>
        <w:t xml:space="preserve"> done or why the choices made were important. For instance, on page 3, it jumps rather quickly to the contributions and provides little insight about why </w:t>
      </w:r>
      <w:r w:rsidR="007A5AD1">
        <w:rPr>
          <w:rFonts w:asciiTheme="majorHAnsi" w:hAnsiTheme="majorHAnsi"/>
        </w:rPr>
        <w:t>the classification between stock- and flow-oriented is relevant for the research question, which is not immediately intuitive for the reader. It also provides no information about how the classification was done, the sources used, and so on, leaving the reader unconvinced about the overall analytical framework.</w:t>
      </w:r>
    </w:p>
    <w:p w14:paraId="0E3A4796" w14:textId="77777777" w:rsidR="007A5AD1" w:rsidRPr="00A13C87" w:rsidRDefault="007A5AD1" w:rsidP="007A5AD1">
      <w:pPr>
        <w:pStyle w:val="p1"/>
        <w:jc w:val="both"/>
        <w:rPr>
          <w:rFonts w:asciiTheme="majorHAnsi" w:hAnsiTheme="majorHAnsi"/>
          <w:i/>
          <w:iCs/>
        </w:rPr>
      </w:pPr>
    </w:p>
    <w:p w14:paraId="2F858284" w14:textId="3303BFDA" w:rsidR="00514A58" w:rsidRPr="00891FDE" w:rsidRDefault="007A5AD1" w:rsidP="00891FDE">
      <w:pPr>
        <w:pStyle w:val="p1"/>
        <w:numPr>
          <w:ilvl w:val="0"/>
          <w:numId w:val="2"/>
        </w:numPr>
        <w:jc w:val="both"/>
        <w:rPr>
          <w:rFonts w:asciiTheme="majorHAnsi" w:hAnsiTheme="majorHAnsi"/>
          <w:i/>
          <w:iCs/>
        </w:rPr>
      </w:pPr>
      <w:r w:rsidRPr="00D579CE">
        <w:rPr>
          <w:rFonts w:asciiTheme="majorHAnsi" w:hAnsiTheme="majorHAnsi"/>
        </w:rPr>
        <w:t>Similarly, the paper provides no literature review, which I think would be crucial for a paper like this. In doing so, it ends up omitting key contributions that would directly relate to this paper</w:t>
      </w:r>
      <w:r w:rsidR="00D579CE">
        <w:rPr>
          <w:rFonts w:asciiTheme="majorHAnsi" w:hAnsiTheme="majorHAnsi"/>
        </w:rPr>
        <w:t xml:space="preserve">, especially from a public choice perspective. Piano </w:t>
      </w:r>
      <w:r w:rsidR="00D579CE">
        <w:rPr>
          <w:rFonts w:asciiTheme="majorHAnsi" w:hAnsiTheme="majorHAnsi"/>
        </w:rPr>
        <w:t>(2019)</w:t>
      </w:r>
      <w:r w:rsidR="00D579CE">
        <w:rPr>
          <w:rFonts w:asciiTheme="majorHAnsi" w:hAnsiTheme="majorHAnsi"/>
        </w:rPr>
        <w:t xml:space="preserve"> and </w:t>
      </w:r>
      <w:proofErr w:type="spellStart"/>
      <w:r w:rsidR="00D579CE">
        <w:rPr>
          <w:rFonts w:asciiTheme="majorHAnsi" w:hAnsiTheme="majorHAnsi"/>
        </w:rPr>
        <w:t>Boettke</w:t>
      </w:r>
      <w:proofErr w:type="spellEnd"/>
      <w:r w:rsidR="00D579CE">
        <w:rPr>
          <w:rFonts w:asciiTheme="majorHAnsi" w:hAnsiTheme="majorHAnsi"/>
        </w:rPr>
        <w:t xml:space="preserve"> and Candela (2020), both published in this journal, </w:t>
      </w:r>
      <w:r w:rsidR="00D579CE">
        <w:rPr>
          <w:rFonts w:asciiTheme="majorHAnsi" w:hAnsiTheme="majorHAnsi"/>
        </w:rPr>
        <w:t>directly discussed state capacity from a public choice perspective</w:t>
      </w:r>
      <w:r w:rsidR="004A3749">
        <w:rPr>
          <w:rFonts w:asciiTheme="majorHAnsi" w:hAnsiTheme="majorHAnsi"/>
        </w:rPr>
        <w:t>.</w:t>
      </w:r>
      <w:r w:rsidR="00D579CE">
        <w:rPr>
          <w:rFonts w:asciiTheme="majorHAnsi" w:hAnsiTheme="majorHAnsi"/>
        </w:rPr>
        <w:t xml:space="preserve"> </w:t>
      </w:r>
      <w:r w:rsidR="00891FDE">
        <w:rPr>
          <w:rFonts w:asciiTheme="majorHAnsi" w:hAnsiTheme="majorHAnsi"/>
        </w:rPr>
        <w:t xml:space="preserve">Still in the public choice tradition, Hendrickson et al. (2018) and </w:t>
      </w:r>
      <w:r w:rsidR="00D579CE" w:rsidRPr="00D579CE">
        <w:rPr>
          <w:rFonts w:asciiTheme="majorHAnsi" w:hAnsiTheme="majorHAnsi"/>
        </w:rPr>
        <w:t>Geloso and Salter (2020)</w:t>
      </w:r>
      <w:r w:rsidR="00891FDE">
        <w:rPr>
          <w:rFonts w:asciiTheme="majorHAnsi" w:hAnsiTheme="majorHAnsi"/>
        </w:rPr>
        <w:t xml:space="preserve"> </w:t>
      </w:r>
      <w:r w:rsidR="00D579CE" w:rsidRPr="00D579CE">
        <w:rPr>
          <w:rFonts w:asciiTheme="majorHAnsi" w:hAnsiTheme="majorHAnsi"/>
        </w:rPr>
        <w:t>discuss many of the same issues here</w:t>
      </w:r>
      <w:r w:rsidR="004A3749">
        <w:rPr>
          <w:rFonts w:asciiTheme="majorHAnsi" w:hAnsiTheme="majorHAnsi"/>
        </w:rPr>
        <w:t xml:space="preserve"> </w:t>
      </w:r>
      <w:r w:rsidR="004A3749">
        <w:rPr>
          <w:rFonts w:asciiTheme="majorHAnsi" w:hAnsiTheme="majorHAnsi"/>
        </w:rPr>
        <w:t>(see also Piano and Salter, 2021)</w:t>
      </w:r>
      <w:r w:rsidR="00D579CE">
        <w:rPr>
          <w:rFonts w:asciiTheme="majorHAnsi" w:hAnsiTheme="majorHAnsi"/>
        </w:rPr>
        <w:t xml:space="preserve">. </w:t>
      </w:r>
      <w:r w:rsidR="00D579CE" w:rsidRPr="00D579CE">
        <w:rPr>
          <w:rFonts w:asciiTheme="majorHAnsi" w:hAnsiTheme="majorHAnsi"/>
        </w:rPr>
        <w:t>It also misses other discussions and datasets that could provide important controls</w:t>
      </w:r>
      <w:r w:rsidR="00D579CE" w:rsidRPr="00D579CE">
        <w:rPr>
          <w:rFonts w:asciiTheme="majorHAnsi" w:hAnsiTheme="majorHAnsi"/>
        </w:rPr>
        <w:t xml:space="preserve">. </w:t>
      </w:r>
      <w:r w:rsidRPr="00D579CE">
        <w:rPr>
          <w:rFonts w:asciiTheme="majorHAnsi" w:hAnsiTheme="majorHAnsi"/>
        </w:rPr>
        <w:t>On technological transfer, I would suggest Bologna Pavlik and Young (2019), which tests Diamond’s (1997) hypothesis of technological transfer from East-West vs. North-South</w:t>
      </w:r>
      <w:r w:rsidR="00A13C87" w:rsidRPr="00D579CE">
        <w:rPr>
          <w:rFonts w:asciiTheme="majorHAnsi" w:hAnsiTheme="majorHAnsi"/>
        </w:rPr>
        <w:t xml:space="preserve"> (see also Olsson and Hibbs, 2005).</w:t>
      </w:r>
      <w:r w:rsidR="0067573C" w:rsidRPr="00D579CE">
        <w:rPr>
          <w:rFonts w:asciiTheme="majorHAnsi" w:hAnsiTheme="majorHAnsi"/>
        </w:rPr>
        <w:t xml:space="preserve"> Likewise, </w:t>
      </w:r>
      <w:proofErr w:type="spellStart"/>
      <w:r w:rsidR="0067573C" w:rsidRPr="00D579CE">
        <w:rPr>
          <w:rFonts w:ascii="Garamond" w:hAnsi="Garamond" w:cs="Arial"/>
          <w:color w:val="222222"/>
          <w:shd w:val="clear" w:color="auto" w:fill="FFFFFF"/>
        </w:rPr>
        <w:t>Flückiger</w:t>
      </w:r>
      <w:proofErr w:type="spellEnd"/>
      <w:r w:rsidR="00514A58" w:rsidRPr="00D579CE">
        <w:rPr>
          <w:rFonts w:asciiTheme="majorHAnsi" w:hAnsiTheme="majorHAnsi"/>
        </w:rPr>
        <w:t xml:space="preserve"> </w:t>
      </w:r>
      <w:r w:rsidR="0067573C" w:rsidRPr="00D579CE">
        <w:rPr>
          <w:rFonts w:asciiTheme="majorHAnsi" w:hAnsiTheme="majorHAnsi"/>
        </w:rPr>
        <w:t xml:space="preserve">et al. (2022) use connectivity to Roman roads to measure economic integration. </w:t>
      </w:r>
      <w:r w:rsidR="00514A58" w:rsidRPr="00D579CE">
        <w:rPr>
          <w:rFonts w:asciiTheme="majorHAnsi" w:hAnsiTheme="majorHAnsi"/>
        </w:rPr>
        <w:t>Fernández-Villaverde et al. (2023) directly speaks to the survival of polities given by their geographical location</w:t>
      </w:r>
      <w:r w:rsidR="00E654AA" w:rsidRPr="00D579CE">
        <w:rPr>
          <w:rFonts w:asciiTheme="majorHAnsi" w:hAnsiTheme="majorHAnsi"/>
        </w:rPr>
        <w:t xml:space="preserve"> – to see the connection, the author even uses a “geographical barrier index”, without citing a source or explaining how exactly it was constructed.</w:t>
      </w:r>
      <w:r w:rsidR="00514A58" w:rsidRPr="00D579CE">
        <w:rPr>
          <w:rFonts w:asciiTheme="majorHAnsi" w:hAnsiTheme="majorHAnsi"/>
        </w:rPr>
        <w:t xml:space="preserve"> </w:t>
      </w:r>
      <w:r w:rsidR="00D579CE" w:rsidRPr="00D579CE">
        <w:rPr>
          <w:rFonts w:asciiTheme="majorHAnsi" w:hAnsiTheme="majorHAnsi"/>
        </w:rPr>
        <w:t>Young (2016), Bastos (2025) and Rodriguez and Imam (2025)</w:t>
      </w:r>
      <w:r w:rsidR="00D579CE" w:rsidRPr="00D579CE">
        <w:rPr>
          <w:rFonts w:asciiTheme="majorHAnsi" w:hAnsiTheme="majorHAnsi"/>
        </w:rPr>
        <w:t>, also published in this journal,</w:t>
      </w:r>
      <w:r w:rsidR="00D579CE" w:rsidRPr="00D579CE">
        <w:rPr>
          <w:rFonts w:asciiTheme="majorHAnsi" w:hAnsiTheme="majorHAnsi"/>
        </w:rPr>
        <w:t xml:space="preserve"> could be useful on the margin.</w:t>
      </w:r>
      <w:r w:rsidR="00D579CE">
        <w:rPr>
          <w:rStyle w:val="FootnoteReference"/>
          <w:rFonts w:asciiTheme="majorHAnsi" w:hAnsiTheme="majorHAnsi"/>
        </w:rPr>
        <w:footnoteReference w:id="1"/>
      </w:r>
    </w:p>
    <w:p w14:paraId="3BAE5BBA" w14:textId="77777777" w:rsidR="00D579CE" w:rsidRPr="00D579CE" w:rsidRDefault="00D579CE" w:rsidP="00D579CE">
      <w:pPr>
        <w:pStyle w:val="p1"/>
        <w:jc w:val="both"/>
        <w:rPr>
          <w:rFonts w:asciiTheme="majorHAnsi" w:hAnsiTheme="majorHAnsi"/>
          <w:i/>
          <w:iCs/>
        </w:rPr>
      </w:pPr>
    </w:p>
    <w:p w14:paraId="1D6FAA16" w14:textId="00990C0B" w:rsidR="00535472" w:rsidRPr="00535472" w:rsidRDefault="00A13C87" w:rsidP="00891FDE">
      <w:pPr>
        <w:pStyle w:val="p1"/>
        <w:numPr>
          <w:ilvl w:val="0"/>
          <w:numId w:val="2"/>
        </w:numPr>
        <w:jc w:val="both"/>
        <w:rPr>
          <w:rFonts w:asciiTheme="majorHAnsi" w:hAnsiTheme="majorHAnsi"/>
          <w:i/>
          <w:iCs/>
        </w:rPr>
      </w:pPr>
      <w:r>
        <w:rPr>
          <w:rFonts w:asciiTheme="majorHAnsi" w:hAnsiTheme="majorHAnsi"/>
        </w:rPr>
        <w:t xml:space="preserve">While the author does provide the full classification in the Appendix, it does not provide any information on how the classification was </w:t>
      </w:r>
      <w:proofErr w:type="gramStart"/>
      <w:r>
        <w:rPr>
          <w:rFonts w:asciiTheme="majorHAnsi" w:hAnsiTheme="majorHAnsi"/>
        </w:rPr>
        <w:t>actually done</w:t>
      </w:r>
      <w:proofErr w:type="gramEnd"/>
      <w:r>
        <w:rPr>
          <w:rFonts w:asciiTheme="majorHAnsi" w:hAnsiTheme="majorHAnsi"/>
        </w:rPr>
        <w:t xml:space="preserve">, or the sources it consulted (other than </w:t>
      </w:r>
      <w:r w:rsidR="00514A58">
        <w:rPr>
          <w:rFonts w:asciiTheme="majorHAnsi" w:hAnsiTheme="majorHAnsi"/>
        </w:rPr>
        <w:t xml:space="preserve">mentioning </w:t>
      </w:r>
      <w:r>
        <w:rPr>
          <w:rFonts w:asciiTheme="majorHAnsi" w:hAnsiTheme="majorHAnsi"/>
        </w:rPr>
        <w:t>the source for 96 historical polities from “standard reference works”</w:t>
      </w:r>
      <w:r w:rsidR="00514A58">
        <w:rPr>
          <w:rFonts w:asciiTheme="majorHAnsi" w:hAnsiTheme="majorHAnsi"/>
        </w:rPr>
        <w:t>)</w:t>
      </w:r>
      <w:r>
        <w:rPr>
          <w:rFonts w:asciiTheme="majorHAnsi" w:hAnsiTheme="majorHAnsi"/>
        </w:rPr>
        <w:t xml:space="preserve">. Related to point 2, </w:t>
      </w:r>
      <w:r w:rsidR="00B00055">
        <w:rPr>
          <w:rFonts w:asciiTheme="majorHAnsi" w:hAnsiTheme="majorHAnsi"/>
        </w:rPr>
        <w:t xml:space="preserve">and although the author </w:t>
      </w:r>
      <w:r w:rsidR="00B00055">
        <w:rPr>
          <w:rFonts w:asciiTheme="majorHAnsi" w:hAnsiTheme="majorHAnsi"/>
          <w:i/>
          <w:iCs/>
        </w:rPr>
        <w:t xml:space="preserve">does </w:t>
      </w:r>
      <w:r w:rsidR="00B00055">
        <w:rPr>
          <w:rFonts w:asciiTheme="majorHAnsi" w:hAnsiTheme="majorHAnsi"/>
        </w:rPr>
        <w:t xml:space="preserve">cite </w:t>
      </w:r>
      <w:r>
        <w:rPr>
          <w:rFonts w:asciiTheme="majorHAnsi" w:hAnsiTheme="majorHAnsi"/>
        </w:rPr>
        <w:t>Comin et al. (2010)</w:t>
      </w:r>
      <w:r w:rsidR="00B00055">
        <w:rPr>
          <w:rFonts w:asciiTheme="majorHAnsi" w:hAnsiTheme="majorHAnsi"/>
        </w:rPr>
        <w:t xml:space="preserve">, it does not discuss at all their data </w:t>
      </w:r>
      <w:r w:rsidR="00B00055">
        <w:rPr>
          <w:rFonts w:asciiTheme="majorHAnsi" w:hAnsiTheme="majorHAnsi"/>
        </w:rPr>
        <w:t>on technology adoption</w:t>
      </w:r>
      <w:r w:rsidR="00B00055">
        <w:rPr>
          <w:rFonts w:asciiTheme="majorHAnsi" w:hAnsiTheme="majorHAnsi"/>
        </w:rPr>
        <w:t xml:space="preserve">, which is also the </w:t>
      </w:r>
      <w:r>
        <w:rPr>
          <w:rFonts w:asciiTheme="majorHAnsi" w:hAnsiTheme="majorHAnsi"/>
        </w:rPr>
        <w:t>data used in Bologna Pavlik and Young (2019)</w:t>
      </w:r>
      <w:r w:rsidR="00B00055">
        <w:rPr>
          <w:rFonts w:asciiTheme="majorHAnsi" w:hAnsiTheme="majorHAnsi"/>
        </w:rPr>
        <w:t xml:space="preserve">. </w:t>
      </w:r>
      <w:r>
        <w:rPr>
          <w:rFonts w:asciiTheme="majorHAnsi" w:hAnsiTheme="majorHAnsi"/>
        </w:rPr>
        <w:t xml:space="preserve">Without </w:t>
      </w:r>
      <w:r w:rsidR="00B00055">
        <w:rPr>
          <w:rFonts w:asciiTheme="majorHAnsi" w:hAnsiTheme="majorHAnsi"/>
        </w:rPr>
        <w:t>motivating</w:t>
      </w:r>
      <w:r w:rsidR="00514A58">
        <w:rPr>
          <w:rFonts w:asciiTheme="majorHAnsi" w:hAnsiTheme="majorHAnsi"/>
        </w:rPr>
        <w:t xml:space="preserve"> the choice of relevant variables </w:t>
      </w:r>
      <w:r w:rsidR="00B00055">
        <w:rPr>
          <w:rFonts w:asciiTheme="majorHAnsi" w:hAnsiTheme="majorHAnsi"/>
        </w:rPr>
        <w:t xml:space="preserve">or comparing it to previous benchmarks, </w:t>
      </w:r>
      <w:r w:rsidR="00514A58">
        <w:rPr>
          <w:rFonts w:asciiTheme="majorHAnsi" w:hAnsiTheme="majorHAnsi"/>
        </w:rPr>
        <w:t xml:space="preserve">the reader is </w:t>
      </w:r>
      <w:r w:rsidR="00D820AA">
        <w:rPr>
          <w:rFonts w:asciiTheme="majorHAnsi" w:hAnsiTheme="majorHAnsi"/>
        </w:rPr>
        <w:t>pretty much</w:t>
      </w:r>
      <w:r w:rsidR="00514A58">
        <w:rPr>
          <w:rFonts w:asciiTheme="majorHAnsi" w:hAnsiTheme="majorHAnsi"/>
        </w:rPr>
        <w:t xml:space="preserve"> lost</w:t>
      </w:r>
      <w:r w:rsidR="00B00055">
        <w:rPr>
          <w:rFonts w:asciiTheme="majorHAnsi" w:hAnsiTheme="majorHAnsi"/>
        </w:rPr>
        <w:t xml:space="preserve"> and unconvinced about the </w:t>
      </w:r>
      <w:r w:rsidR="00D820AA">
        <w:rPr>
          <w:rFonts w:asciiTheme="majorHAnsi" w:hAnsiTheme="majorHAnsi"/>
        </w:rPr>
        <w:t>construction of the data.</w:t>
      </w:r>
      <w:r w:rsidR="00514A58">
        <w:rPr>
          <w:rFonts w:asciiTheme="majorHAnsi" w:hAnsiTheme="majorHAnsi"/>
        </w:rPr>
        <w:t xml:space="preserve"> </w:t>
      </w:r>
      <w:r w:rsidRPr="00E654AA">
        <w:rPr>
          <w:rFonts w:asciiTheme="majorHAnsi" w:hAnsiTheme="majorHAnsi"/>
        </w:rPr>
        <w:t>I also missed a summary stats table, or maps showing the polities, which leaves the reader without much context</w:t>
      </w:r>
      <w:r w:rsidR="00E654AA" w:rsidRPr="00E654AA">
        <w:rPr>
          <w:rFonts w:asciiTheme="majorHAnsi" w:hAnsiTheme="majorHAnsi"/>
        </w:rPr>
        <w:t xml:space="preserve"> on where these </w:t>
      </w:r>
      <w:proofErr w:type="spellStart"/>
      <w:r w:rsidR="00E654AA" w:rsidRPr="00E654AA">
        <w:rPr>
          <w:rFonts w:asciiTheme="majorHAnsi" w:hAnsiTheme="majorHAnsi"/>
        </w:rPr>
        <w:t>polities</w:t>
      </w:r>
      <w:proofErr w:type="spellEnd"/>
      <w:r w:rsidR="00E654AA" w:rsidRPr="00E654AA">
        <w:rPr>
          <w:rFonts w:asciiTheme="majorHAnsi" w:hAnsiTheme="majorHAnsi"/>
        </w:rPr>
        <w:t xml:space="preserve"> are located or the distribution of the sample across eras.</w:t>
      </w:r>
    </w:p>
    <w:p w14:paraId="1670A6CA" w14:textId="77777777" w:rsidR="00535472" w:rsidRPr="00535472" w:rsidRDefault="00535472" w:rsidP="00535472">
      <w:pPr>
        <w:pStyle w:val="p1"/>
        <w:ind w:left="360"/>
        <w:jc w:val="both"/>
        <w:rPr>
          <w:rFonts w:asciiTheme="majorHAnsi" w:hAnsiTheme="majorHAnsi"/>
          <w:i/>
          <w:iCs/>
        </w:rPr>
      </w:pPr>
    </w:p>
    <w:p w14:paraId="5BCE6BEA" w14:textId="1A0CE2D0" w:rsidR="007D4D03" w:rsidRPr="007D4D03" w:rsidRDefault="00E654AA" w:rsidP="007D4D03">
      <w:pPr>
        <w:pStyle w:val="p1"/>
        <w:numPr>
          <w:ilvl w:val="0"/>
          <w:numId w:val="2"/>
        </w:numPr>
        <w:jc w:val="both"/>
        <w:rPr>
          <w:rFonts w:asciiTheme="majorHAnsi" w:hAnsiTheme="majorHAnsi"/>
          <w:i/>
          <w:iCs/>
        </w:rPr>
      </w:pPr>
      <w:r w:rsidRPr="007D4D03">
        <w:rPr>
          <w:rFonts w:asciiTheme="majorHAnsi" w:hAnsiTheme="majorHAnsi"/>
        </w:rPr>
        <w:lastRenderedPageBreak/>
        <w:t xml:space="preserve">Again, when </w:t>
      </w:r>
      <w:r w:rsidR="007D4D03" w:rsidRPr="007D4D03">
        <w:rPr>
          <w:rFonts w:asciiTheme="majorHAnsi" w:hAnsiTheme="majorHAnsi"/>
        </w:rPr>
        <w:t>one</w:t>
      </w:r>
      <w:r w:rsidRPr="007D4D03">
        <w:rPr>
          <w:rFonts w:asciiTheme="majorHAnsi" w:hAnsiTheme="majorHAnsi"/>
        </w:rPr>
        <w:t xml:space="preserve"> reach</w:t>
      </w:r>
      <w:r w:rsidR="007D4D03" w:rsidRPr="007D4D03">
        <w:rPr>
          <w:rFonts w:asciiTheme="majorHAnsi" w:hAnsiTheme="majorHAnsi"/>
        </w:rPr>
        <w:t>es</w:t>
      </w:r>
      <w:r w:rsidRPr="007D4D03">
        <w:rPr>
          <w:rFonts w:asciiTheme="majorHAnsi" w:hAnsiTheme="majorHAnsi"/>
        </w:rPr>
        <w:t xml:space="preserve"> the methods section, the author provides </w:t>
      </w:r>
      <w:r w:rsidRPr="007D4D03">
        <w:rPr>
          <w:rFonts w:asciiTheme="majorHAnsi" w:hAnsiTheme="majorHAnsi"/>
        </w:rPr>
        <w:t>only a list of the methods used, without discussing why they are appropriate, their identification assumptions, or why the reader should believe they</w:t>
      </w:r>
      <w:r w:rsidRPr="007D4D03">
        <w:rPr>
          <w:rFonts w:asciiTheme="majorHAnsi" w:hAnsiTheme="majorHAnsi"/>
        </w:rPr>
        <w:t xml:space="preserve"> are met. </w:t>
      </w:r>
      <w:r w:rsidR="007D63E9" w:rsidRPr="007D4D03">
        <w:rPr>
          <w:rFonts w:asciiTheme="majorHAnsi" w:hAnsiTheme="majorHAnsi"/>
        </w:rPr>
        <w:t>For instance, on the 2SLS section, the author says that “</w:t>
      </w:r>
      <w:r w:rsidR="007D63E9" w:rsidRPr="007D4D03">
        <w:rPr>
          <w:rFonts w:asciiTheme="majorHAnsi" w:hAnsiTheme="majorHAnsi"/>
        </w:rPr>
        <w:t>We instrument the closure indicator with the geographic barrier index, which captures natural defensibility (mountains, deserts, island geography) and plausibly affects state survival only through its influence on network accessibility, conditional on external threat, technological position, institutional quality, and era (Angrist et al. 1996)</w:t>
      </w:r>
      <w:r w:rsidR="007D63E9" w:rsidRPr="007D4D03">
        <w:rPr>
          <w:rFonts w:asciiTheme="majorHAnsi" w:hAnsiTheme="majorHAnsi"/>
        </w:rPr>
        <w:t>” but there are basically no arguments for why this is the case. In the results section, there is no first</w:t>
      </w:r>
      <w:r w:rsidR="0067573C" w:rsidRPr="007D4D03">
        <w:rPr>
          <w:rFonts w:asciiTheme="majorHAnsi" w:hAnsiTheme="majorHAnsi"/>
        </w:rPr>
        <w:t>-</w:t>
      </w:r>
      <w:r w:rsidR="007D63E9" w:rsidRPr="007D4D03">
        <w:rPr>
          <w:rFonts w:asciiTheme="majorHAnsi" w:hAnsiTheme="majorHAnsi"/>
        </w:rPr>
        <w:t xml:space="preserve">stage regression, although an F-test is reported in the main text. </w:t>
      </w:r>
      <w:r w:rsidR="007D4D03" w:rsidRPr="007D4D03">
        <w:rPr>
          <w:rFonts w:asciiTheme="majorHAnsi" w:hAnsiTheme="majorHAnsi"/>
        </w:rPr>
        <w:t xml:space="preserve">More broadly, I think that given the small sample size and the extensive temporal coverage of the analysis, finding an appropriate instrument will be quite hard, and IV analysis will likely be underpowered. </w:t>
      </w:r>
      <w:r w:rsidR="00152F57">
        <w:rPr>
          <w:rFonts w:asciiTheme="majorHAnsi" w:hAnsiTheme="majorHAnsi"/>
        </w:rPr>
        <w:t>In turn,</w:t>
      </w:r>
      <w:r w:rsidR="00152F57">
        <w:rPr>
          <w:rFonts w:asciiTheme="majorHAnsi" w:hAnsiTheme="majorHAnsi"/>
        </w:rPr>
        <w:t xml:space="preserve"> </w:t>
      </w:r>
      <w:r w:rsidR="00152F57">
        <w:rPr>
          <w:rFonts w:asciiTheme="majorHAnsi" w:hAnsiTheme="majorHAnsi"/>
        </w:rPr>
        <w:t xml:space="preserve">the </w:t>
      </w:r>
      <w:r w:rsidR="00152F57">
        <w:rPr>
          <w:rFonts w:asciiTheme="majorHAnsi" w:hAnsiTheme="majorHAnsi"/>
        </w:rPr>
        <w:t xml:space="preserve">author discussed that PSM improves balance, but we don’t have any test of actual covariate balance. </w:t>
      </w:r>
      <w:r w:rsidR="007549A7">
        <w:rPr>
          <w:rFonts w:asciiTheme="majorHAnsi" w:hAnsiTheme="majorHAnsi"/>
        </w:rPr>
        <w:t>I’m not completely sure matching will be the best option overall, but on the margin, g</w:t>
      </w:r>
      <w:r w:rsidR="00152F57">
        <w:rPr>
          <w:rFonts w:asciiTheme="majorHAnsi" w:hAnsiTheme="majorHAnsi"/>
        </w:rPr>
        <w:t xml:space="preserve">iven the small number of observations and coarse covariates (most of them </w:t>
      </w:r>
      <w:r w:rsidR="007549A7">
        <w:rPr>
          <w:rFonts w:asciiTheme="majorHAnsi" w:hAnsiTheme="majorHAnsi"/>
        </w:rPr>
        <w:t>seem to be</w:t>
      </w:r>
      <w:r w:rsidR="00152F57">
        <w:rPr>
          <w:rFonts w:asciiTheme="majorHAnsi" w:hAnsiTheme="majorHAnsi"/>
        </w:rPr>
        <w:t xml:space="preserve"> discrete indicators), something like coarse exact matching</w:t>
      </w:r>
      <w:r w:rsidR="007549A7">
        <w:rPr>
          <w:rFonts w:asciiTheme="majorHAnsi" w:hAnsiTheme="majorHAnsi"/>
        </w:rPr>
        <w:t xml:space="preserve"> </w:t>
      </w:r>
      <w:r w:rsidR="00152F57">
        <w:rPr>
          <w:rFonts w:asciiTheme="majorHAnsi" w:hAnsiTheme="majorHAnsi"/>
        </w:rPr>
        <w:t>would be more fruitful.</w:t>
      </w:r>
    </w:p>
    <w:p w14:paraId="29673DC5" w14:textId="77777777" w:rsidR="007D4D03" w:rsidRPr="007D4D03" w:rsidRDefault="007D4D03" w:rsidP="007D4D03">
      <w:pPr>
        <w:pStyle w:val="p1"/>
        <w:jc w:val="both"/>
        <w:rPr>
          <w:rFonts w:asciiTheme="majorHAnsi" w:hAnsiTheme="majorHAnsi"/>
          <w:i/>
          <w:iCs/>
        </w:rPr>
      </w:pPr>
    </w:p>
    <w:p w14:paraId="5F59BB43" w14:textId="373CC6B3" w:rsidR="007D4D03" w:rsidRPr="007D4D03" w:rsidRDefault="007D4D03" w:rsidP="007D4D03">
      <w:pPr>
        <w:pStyle w:val="p1"/>
        <w:numPr>
          <w:ilvl w:val="0"/>
          <w:numId w:val="2"/>
        </w:numPr>
        <w:jc w:val="both"/>
        <w:rPr>
          <w:rFonts w:asciiTheme="majorHAnsi" w:hAnsiTheme="majorHAnsi"/>
          <w:i/>
          <w:iCs/>
        </w:rPr>
      </w:pPr>
      <w:r>
        <w:rPr>
          <w:rFonts w:asciiTheme="majorHAnsi" w:hAnsiTheme="majorHAnsi"/>
        </w:rPr>
        <w:t xml:space="preserve">Having said all this, I do believe that using randomization inference was an appropriate choice given the small sample size, and I appreciate the author’s attention to this matter. </w:t>
      </w:r>
      <w:r w:rsidR="00152F57">
        <w:rPr>
          <w:rFonts w:asciiTheme="majorHAnsi" w:hAnsiTheme="majorHAnsi"/>
        </w:rPr>
        <w:t xml:space="preserve">The choice of appropriate errors will have a large impact on the results of this paper, and I think that spatial correlation will play a large role. I suggest Conley and Kelly (2025) as a good reference for it. </w:t>
      </w:r>
      <w:r w:rsidR="00B00055">
        <w:rPr>
          <w:rFonts w:asciiTheme="majorHAnsi" w:hAnsiTheme="majorHAnsi"/>
        </w:rPr>
        <w:t xml:space="preserve">Given the similar empirical setting, Appendix C of Bastos (2025), published in this journal (see </w:t>
      </w:r>
      <w:hyperlink r:id="rId8" w:history="1">
        <w:r w:rsidR="00B00055" w:rsidRPr="00B00055">
          <w:rPr>
            <w:rStyle w:val="Hyperlink"/>
            <w:rFonts w:asciiTheme="majorHAnsi" w:hAnsiTheme="majorHAnsi"/>
          </w:rPr>
          <w:t>here</w:t>
        </w:r>
      </w:hyperlink>
      <w:r w:rsidR="00B00055">
        <w:rPr>
          <w:rFonts w:asciiTheme="majorHAnsi" w:hAnsiTheme="majorHAnsi"/>
        </w:rPr>
        <w:t xml:space="preserve">) could be a useful reference, as it accounts for outliers using effective regression weights (as in Aronow and Samii, 2026), tests for omitted variable bias (as in Masten and Poirier, 2026), and the aforementioned Conley standard errors. </w:t>
      </w:r>
    </w:p>
    <w:p w14:paraId="2E2BA390" w14:textId="77777777" w:rsidR="007A5AD1" w:rsidRDefault="007A5AD1" w:rsidP="007A5AD1">
      <w:pPr>
        <w:pStyle w:val="ListParagraph"/>
        <w:rPr>
          <w:rFonts w:asciiTheme="majorHAnsi" w:hAnsiTheme="majorHAnsi"/>
          <w:i/>
          <w:iCs/>
        </w:rPr>
      </w:pPr>
    </w:p>
    <w:p w14:paraId="56EF1CAB" w14:textId="77777777" w:rsidR="007A5AD1" w:rsidRDefault="007A5AD1" w:rsidP="007A5AD1">
      <w:pPr>
        <w:pStyle w:val="p1"/>
        <w:jc w:val="both"/>
        <w:rPr>
          <w:rFonts w:asciiTheme="majorHAnsi" w:hAnsiTheme="majorHAnsi"/>
          <w:i/>
          <w:iCs/>
        </w:rPr>
      </w:pPr>
    </w:p>
    <w:p w14:paraId="275D3C86" w14:textId="5A0B6986" w:rsidR="007A5AD1" w:rsidRDefault="007A5AD1" w:rsidP="007A5AD1">
      <w:pPr>
        <w:pStyle w:val="p1"/>
        <w:jc w:val="both"/>
        <w:rPr>
          <w:rFonts w:asciiTheme="majorHAnsi" w:hAnsiTheme="majorHAnsi"/>
          <w:b/>
          <w:bCs/>
        </w:rPr>
      </w:pPr>
      <w:r>
        <w:rPr>
          <w:rFonts w:asciiTheme="majorHAnsi" w:hAnsiTheme="majorHAnsi"/>
          <w:b/>
          <w:bCs/>
        </w:rPr>
        <w:t>References</w:t>
      </w:r>
    </w:p>
    <w:p w14:paraId="536F1E40" w14:textId="77777777" w:rsidR="007A5AD1" w:rsidRDefault="007A5AD1" w:rsidP="007A5AD1">
      <w:pPr>
        <w:pStyle w:val="p1"/>
        <w:jc w:val="both"/>
        <w:rPr>
          <w:rFonts w:asciiTheme="majorHAnsi" w:hAnsiTheme="majorHAnsi"/>
          <w:b/>
          <w:bCs/>
        </w:rPr>
      </w:pPr>
    </w:p>
    <w:p w14:paraId="2D9F909B" w14:textId="4D28838C" w:rsidR="00B00055" w:rsidRPr="00B00055" w:rsidRDefault="00B00055" w:rsidP="00B00055">
      <w:pPr>
        <w:spacing w:after="0" w:line="240" w:lineRule="auto"/>
        <w:rPr>
          <w:rFonts w:ascii="Garamond" w:eastAsia="Times New Roman" w:hAnsi="Garamond" w:cs="Times New Roman"/>
          <w:color w:val="000000"/>
          <w:kern w:val="0"/>
          <w14:ligatures w14:val="none"/>
        </w:rPr>
      </w:pPr>
      <w:r w:rsidRPr="00B00055">
        <w:rPr>
          <w:rFonts w:ascii="Garamond" w:eastAsia="Times New Roman" w:hAnsi="Garamond" w:cs="Times New Roman"/>
          <w:color w:val="000000"/>
          <w:kern w:val="0"/>
          <w14:ligatures w14:val="none"/>
        </w:rPr>
        <w:t>Aronow, P. M. and Samii, C. (2016). Does regression produce representative estimates</w:t>
      </w:r>
      <w:r w:rsidRPr="00B00055">
        <w:rPr>
          <w:rFonts w:ascii="Garamond" w:eastAsia="Times New Roman" w:hAnsi="Garamond" w:cs="Times New Roman"/>
          <w:color w:val="000000"/>
          <w:kern w:val="0"/>
          <w14:ligatures w14:val="none"/>
        </w:rPr>
        <w:t xml:space="preserve"> </w:t>
      </w:r>
      <w:r w:rsidRPr="00B00055">
        <w:rPr>
          <w:rFonts w:ascii="Garamond" w:eastAsia="Times New Roman" w:hAnsi="Garamond" w:cs="Times New Roman"/>
          <w:color w:val="000000"/>
          <w:kern w:val="0"/>
          <w14:ligatures w14:val="none"/>
        </w:rPr>
        <w:t xml:space="preserve">of causal eﬀects? </w:t>
      </w:r>
      <w:r w:rsidRPr="00B00055">
        <w:rPr>
          <w:rFonts w:ascii="Garamond" w:eastAsia="Times New Roman" w:hAnsi="Garamond" w:cs="Times New Roman"/>
          <w:i/>
          <w:iCs/>
          <w:color w:val="000000"/>
          <w:kern w:val="0"/>
          <w14:ligatures w14:val="none"/>
        </w:rPr>
        <w:t>American Journal of Political Science</w:t>
      </w:r>
      <w:r w:rsidRPr="00B00055">
        <w:rPr>
          <w:rFonts w:ascii="Garamond" w:eastAsia="Times New Roman" w:hAnsi="Garamond" w:cs="Times New Roman"/>
          <w:color w:val="000000"/>
          <w:kern w:val="0"/>
          <w14:ligatures w14:val="none"/>
        </w:rPr>
        <w:t>, 60(1):250–267.</w:t>
      </w:r>
    </w:p>
    <w:p w14:paraId="5E2A4FFF" w14:textId="77777777" w:rsidR="00B00055" w:rsidRDefault="00B00055" w:rsidP="007A5AD1">
      <w:pPr>
        <w:pStyle w:val="p1"/>
        <w:jc w:val="both"/>
        <w:rPr>
          <w:rFonts w:asciiTheme="majorHAnsi" w:hAnsiTheme="majorHAnsi"/>
          <w:b/>
          <w:bCs/>
        </w:rPr>
      </w:pPr>
    </w:p>
    <w:p w14:paraId="50D0F956" w14:textId="401ECF40" w:rsidR="00B00055" w:rsidRPr="00B00055" w:rsidRDefault="00B00055" w:rsidP="007A5AD1">
      <w:pPr>
        <w:pStyle w:val="p1"/>
        <w:jc w:val="both"/>
        <w:rPr>
          <w:rFonts w:ascii="Garamond" w:hAnsi="Garamond"/>
          <w:b/>
          <w:bCs/>
        </w:rPr>
      </w:pPr>
      <w:r w:rsidRPr="00B00055">
        <w:rPr>
          <w:rFonts w:ascii="Garamond" w:hAnsi="Garamond" w:cs="Arial"/>
          <w:color w:val="222222"/>
          <w:shd w:val="clear" w:color="auto" w:fill="FFFFFF"/>
        </w:rPr>
        <w:t>Bastos, J. P. (2025). Colonial rule and economic freedom.</w:t>
      </w:r>
      <w:r w:rsidRPr="00B00055">
        <w:rPr>
          <w:rStyle w:val="apple-converted-space"/>
          <w:rFonts w:ascii="Garamond" w:hAnsi="Garamond" w:cs="Arial"/>
          <w:color w:val="222222"/>
          <w:shd w:val="clear" w:color="auto" w:fill="FFFFFF"/>
        </w:rPr>
        <w:t> </w:t>
      </w:r>
      <w:r w:rsidRPr="00B00055">
        <w:rPr>
          <w:rFonts w:ascii="Garamond" w:hAnsi="Garamond" w:cs="Arial"/>
          <w:i/>
          <w:iCs/>
          <w:color w:val="222222"/>
        </w:rPr>
        <w:t>Public Choice</w:t>
      </w:r>
      <w:r w:rsidRPr="00B00055">
        <w:rPr>
          <w:rFonts w:ascii="Garamond" w:hAnsi="Garamond" w:cs="Arial"/>
          <w:color w:val="222222"/>
          <w:shd w:val="clear" w:color="auto" w:fill="FFFFFF"/>
        </w:rPr>
        <w:t>,</w:t>
      </w:r>
      <w:r w:rsidRPr="00B00055">
        <w:rPr>
          <w:rStyle w:val="apple-converted-space"/>
          <w:rFonts w:ascii="Garamond" w:hAnsi="Garamond" w:cs="Arial"/>
          <w:color w:val="222222"/>
          <w:shd w:val="clear" w:color="auto" w:fill="FFFFFF"/>
        </w:rPr>
        <w:t> </w:t>
      </w:r>
      <w:r w:rsidRPr="00B00055">
        <w:rPr>
          <w:rFonts w:ascii="Garamond" w:hAnsi="Garamond" w:cs="Arial"/>
          <w:i/>
          <w:iCs/>
          <w:color w:val="222222"/>
        </w:rPr>
        <w:t>205</w:t>
      </w:r>
      <w:r w:rsidRPr="00B00055">
        <w:rPr>
          <w:rFonts w:ascii="Garamond" w:hAnsi="Garamond" w:cs="Arial"/>
          <w:color w:val="222222"/>
          <w:shd w:val="clear" w:color="auto" w:fill="FFFFFF"/>
        </w:rPr>
        <w:t>(1), 79-104.</w:t>
      </w:r>
    </w:p>
    <w:p w14:paraId="57397CF6" w14:textId="77777777" w:rsidR="00B00055" w:rsidRDefault="00B00055" w:rsidP="007A5AD1">
      <w:pPr>
        <w:pStyle w:val="p1"/>
        <w:jc w:val="both"/>
        <w:rPr>
          <w:rFonts w:asciiTheme="majorHAnsi" w:hAnsiTheme="majorHAnsi"/>
          <w:b/>
          <w:bCs/>
        </w:rPr>
      </w:pPr>
    </w:p>
    <w:p w14:paraId="353F4C13" w14:textId="3198ADA6" w:rsidR="007A5AD1" w:rsidRDefault="007A5AD1"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 xml:space="preserve">Bologna </w:t>
      </w:r>
      <w:r w:rsidRPr="0067573C">
        <w:rPr>
          <w:rFonts w:ascii="Garamond" w:hAnsi="Garamond" w:cs="Arial"/>
          <w:color w:val="222222"/>
          <w:shd w:val="clear" w:color="auto" w:fill="FFFFFF"/>
        </w:rPr>
        <w:t>Pavlik, J., &amp; Young, A. T. (2019). Did technology transfer more rapidly East–West than North–</w:t>
      </w:r>
      <w:proofErr w:type="gramStart"/>
      <w:r w:rsidRPr="0067573C">
        <w:rPr>
          <w:rFonts w:ascii="Garamond" w:hAnsi="Garamond" w:cs="Arial"/>
          <w:color w:val="222222"/>
          <w:shd w:val="clear" w:color="auto" w:fill="FFFFFF"/>
        </w:rPr>
        <w:t>South?.</w:t>
      </w:r>
      <w:proofErr w:type="gramEnd"/>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European Economic Review</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119</w:t>
      </w:r>
      <w:r w:rsidRPr="0067573C">
        <w:rPr>
          <w:rFonts w:ascii="Garamond" w:hAnsi="Garamond" w:cs="Arial"/>
          <w:color w:val="222222"/>
          <w:shd w:val="clear" w:color="auto" w:fill="FFFFFF"/>
        </w:rPr>
        <w:t>, 216-235.</w:t>
      </w:r>
    </w:p>
    <w:p w14:paraId="08B735E4" w14:textId="77777777" w:rsidR="00D579CE" w:rsidRDefault="00D579CE" w:rsidP="007A5AD1">
      <w:pPr>
        <w:pStyle w:val="p1"/>
        <w:jc w:val="both"/>
        <w:rPr>
          <w:rFonts w:ascii="Garamond" w:hAnsi="Garamond" w:cs="Arial"/>
          <w:color w:val="222222"/>
          <w:shd w:val="clear" w:color="auto" w:fill="FFFFFF"/>
        </w:rPr>
      </w:pPr>
    </w:p>
    <w:p w14:paraId="14D62778" w14:textId="7CBF7C16" w:rsidR="00D579CE" w:rsidRPr="0067573C" w:rsidRDefault="00D579CE" w:rsidP="007A5AD1">
      <w:pPr>
        <w:pStyle w:val="p1"/>
        <w:jc w:val="both"/>
        <w:rPr>
          <w:rFonts w:ascii="Garamond" w:hAnsi="Garamond" w:cs="Arial"/>
          <w:color w:val="222222"/>
          <w:shd w:val="clear" w:color="auto" w:fill="FFFFFF"/>
        </w:rPr>
      </w:pPr>
      <w:r w:rsidRPr="00D579CE">
        <w:rPr>
          <w:rFonts w:ascii="Garamond" w:hAnsi="Garamond" w:cs="Arial"/>
          <w:color w:val="222222"/>
          <w:shd w:val="clear" w:color="auto" w:fill="FFFFFF"/>
        </w:rPr>
        <w:t>Boettke, P.J., Candela, R.A. (2020).</w:t>
      </w:r>
      <w:r>
        <w:rPr>
          <w:rFonts w:ascii="Garamond" w:hAnsi="Garamond" w:cs="Arial"/>
          <w:color w:val="222222"/>
          <w:shd w:val="clear" w:color="auto" w:fill="FFFFFF"/>
        </w:rPr>
        <w:t xml:space="preserve"> </w:t>
      </w:r>
      <w:r w:rsidRPr="00D579CE">
        <w:rPr>
          <w:rFonts w:ascii="Garamond" w:hAnsi="Garamond" w:cs="Arial"/>
          <w:color w:val="222222"/>
          <w:shd w:val="clear" w:color="auto" w:fill="FFFFFF"/>
        </w:rPr>
        <w:t>Productive specialization, peaceful cooperation</w:t>
      </w:r>
      <w:r>
        <w:rPr>
          <w:rFonts w:ascii="Garamond" w:hAnsi="Garamond" w:cs="Arial"/>
          <w:color w:val="222222"/>
          <w:shd w:val="clear" w:color="auto" w:fill="FFFFFF"/>
        </w:rPr>
        <w:t>,</w:t>
      </w:r>
      <w:r w:rsidRPr="00D579CE">
        <w:rPr>
          <w:rFonts w:ascii="Garamond" w:hAnsi="Garamond" w:cs="Arial"/>
          <w:color w:val="222222"/>
          <w:shd w:val="clear" w:color="auto" w:fill="FFFFFF"/>
        </w:rPr>
        <w:t xml:space="preserve"> and the problem of the predatory state: lessons from comparative historical political economy. </w:t>
      </w:r>
      <w:r w:rsidRPr="00D579CE">
        <w:rPr>
          <w:rFonts w:ascii="Garamond" w:hAnsi="Garamond" w:cs="Arial"/>
          <w:i/>
          <w:iCs/>
          <w:color w:val="222222"/>
          <w:shd w:val="clear" w:color="auto" w:fill="FFFFFF"/>
        </w:rPr>
        <w:t>Public Choice</w:t>
      </w:r>
      <w:r w:rsidRPr="00D579CE">
        <w:rPr>
          <w:rFonts w:ascii="Garamond" w:hAnsi="Garamond" w:cs="Arial"/>
          <w:color w:val="222222"/>
          <w:shd w:val="clear" w:color="auto" w:fill="FFFFFF"/>
        </w:rPr>
        <w:t xml:space="preserve"> 182, 331–352</w:t>
      </w:r>
      <w:r>
        <w:rPr>
          <w:rFonts w:ascii="Garamond" w:hAnsi="Garamond" w:cs="Arial"/>
          <w:color w:val="222222"/>
          <w:shd w:val="clear" w:color="auto" w:fill="FFFFFF"/>
        </w:rPr>
        <w:t>.</w:t>
      </w:r>
    </w:p>
    <w:p w14:paraId="3C946ED6" w14:textId="77777777" w:rsidR="00A13C87" w:rsidRPr="0067573C" w:rsidRDefault="00A13C87" w:rsidP="007A5AD1">
      <w:pPr>
        <w:pStyle w:val="p1"/>
        <w:jc w:val="both"/>
        <w:rPr>
          <w:rFonts w:ascii="Garamond" w:hAnsi="Garamond" w:cs="Arial"/>
          <w:color w:val="222222"/>
          <w:shd w:val="clear" w:color="auto" w:fill="FFFFFF"/>
        </w:rPr>
      </w:pPr>
    </w:p>
    <w:p w14:paraId="5A56A27C" w14:textId="6E067B55" w:rsidR="00A13C87" w:rsidRDefault="00A13C87"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 xml:space="preserve">Comin, D., Easterly, W., &amp; Gong, E. (2010). Was the wealth of nations determined in 1000 </w:t>
      </w:r>
      <w:proofErr w:type="gramStart"/>
      <w:r w:rsidRPr="0067573C">
        <w:rPr>
          <w:rFonts w:ascii="Garamond" w:hAnsi="Garamond" w:cs="Arial"/>
          <w:color w:val="222222"/>
          <w:shd w:val="clear" w:color="auto" w:fill="FFFFFF"/>
        </w:rPr>
        <w:t>BC?.</w:t>
      </w:r>
      <w:proofErr w:type="gramEnd"/>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American Economic Journal: Macroeconomics</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2</w:t>
      </w:r>
      <w:r w:rsidRPr="0067573C">
        <w:rPr>
          <w:rFonts w:ascii="Garamond" w:hAnsi="Garamond" w:cs="Arial"/>
          <w:color w:val="222222"/>
          <w:shd w:val="clear" w:color="auto" w:fill="FFFFFF"/>
        </w:rPr>
        <w:t>(3), 65-97.</w:t>
      </w:r>
    </w:p>
    <w:p w14:paraId="4C2F6CB3" w14:textId="77777777" w:rsidR="00152F57" w:rsidRDefault="00152F57" w:rsidP="007A5AD1">
      <w:pPr>
        <w:pStyle w:val="p1"/>
        <w:jc w:val="both"/>
        <w:rPr>
          <w:rFonts w:ascii="Garamond" w:hAnsi="Garamond" w:cs="Arial"/>
          <w:color w:val="222222"/>
          <w:shd w:val="clear" w:color="auto" w:fill="FFFFFF"/>
        </w:rPr>
      </w:pPr>
    </w:p>
    <w:p w14:paraId="463F457D" w14:textId="0712CFEC" w:rsidR="00152F57" w:rsidRPr="00152F57" w:rsidRDefault="00152F57" w:rsidP="007A5AD1">
      <w:pPr>
        <w:pStyle w:val="p1"/>
        <w:jc w:val="both"/>
        <w:rPr>
          <w:rFonts w:ascii="Garamond" w:hAnsi="Garamond" w:cs="Arial"/>
          <w:color w:val="222222"/>
          <w:shd w:val="clear" w:color="auto" w:fill="FFFFFF"/>
        </w:rPr>
      </w:pPr>
      <w:r w:rsidRPr="00152F57">
        <w:rPr>
          <w:rFonts w:ascii="Garamond" w:hAnsi="Garamond" w:cs="Arial"/>
          <w:color w:val="222222"/>
          <w:shd w:val="clear" w:color="auto" w:fill="FFFFFF"/>
        </w:rPr>
        <w:t>Conley, T. G., &amp; Kelly, M. (2025). The standard errors of persistence.</w:t>
      </w:r>
      <w:r w:rsidRPr="00152F57">
        <w:rPr>
          <w:rStyle w:val="apple-converted-space"/>
          <w:rFonts w:ascii="Garamond" w:hAnsi="Garamond" w:cs="Arial"/>
          <w:color w:val="222222"/>
          <w:shd w:val="clear" w:color="auto" w:fill="FFFFFF"/>
        </w:rPr>
        <w:t> </w:t>
      </w:r>
      <w:r w:rsidRPr="00152F57">
        <w:rPr>
          <w:rFonts w:ascii="Garamond" w:hAnsi="Garamond" w:cs="Arial"/>
          <w:i/>
          <w:iCs/>
          <w:color w:val="222222"/>
        </w:rPr>
        <w:t>Journal of International Economics</w:t>
      </w:r>
      <w:r w:rsidRPr="00152F57">
        <w:rPr>
          <w:rFonts w:ascii="Garamond" w:hAnsi="Garamond" w:cs="Arial"/>
          <w:color w:val="222222"/>
          <w:shd w:val="clear" w:color="auto" w:fill="FFFFFF"/>
        </w:rPr>
        <w:t>,</w:t>
      </w:r>
      <w:r w:rsidRPr="00152F57">
        <w:rPr>
          <w:rStyle w:val="apple-converted-space"/>
          <w:rFonts w:ascii="Garamond" w:hAnsi="Garamond" w:cs="Arial"/>
          <w:color w:val="222222"/>
          <w:shd w:val="clear" w:color="auto" w:fill="FFFFFF"/>
        </w:rPr>
        <w:t> </w:t>
      </w:r>
      <w:r w:rsidRPr="00152F57">
        <w:rPr>
          <w:rFonts w:ascii="Garamond" w:hAnsi="Garamond" w:cs="Arial"/>
          <w:i/>
          <w:iCs/>
          <w:color w:val="222222"/>
        </w:rPr>
        <w:t>153</w:t>
      </w:r>
      <w:r w:rsidRPr="00152F57">
        <w:rPr>
          <w:rFonts w:ascii="Garamond" w:hAnsi="Garamond" w:cs="Arial"/>
          <w:color w:val="222222"/>
          <w:shd w:val="clear" w:color="auto" w:fill="FFFFFF"/>
        </w:rPr>
        <w:t>, 104027.</w:t>
      </w:r>
    </w:p>
    <w:p w14:paraId="7CB2EE02" w14:textId="77777777" w:rsidR="00514A58" w:rsidRPr="0067573C" w:rsidRDefault="00514A58" w:rsidP="007A5AD1">
      <w:pPr>
        <w:pStyle w:val="p1"/>
        <w:jc w:val="both"/>
        <w:rPr>
          <w:rFonts w:ascii="Garamond" w:hAnsi="Garamond" w:cs="Arial"/>
          <w:color w:val="222222"/>
          <w:shd w:val="clear" w:color="auto" w:fill="FFFFFF"/>
        </w:rPr>
      </w:pPr>
    </w:p>
    <w:p w14:paraId="664714A1" w14:textId="6F2FB8C2" w:rsidR="00514A58" w:rsidRPr="0067573C" w:rsidRDefault="00514A58"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lastRenderedPageBreak/>
        <w:t xml:space="preserve">Fernández-Villaverde, J., Koyama, M., Lin, Y., &amp; </w:t>
      </w:r>
      <w:proofErr w:type="spellStart"/>
      <w:r w:rsidRPr="0067573C">
        <w:rPr>
          <w:rFonts w:ascii="Garamond" w:hAnsi="Garamond" w:cs="Arial"/>
          <w:color w:val="222222"/>
          <w:shd w:val="clear" w:color="auto" w:fill="FFFFFF"/>
        </w:rPr>
        <w:t>Sng</w:t>
      </w:r>
      <w:proofErr w:type="spellEnd"/>
      <w:r w:rsidRPr="0067573C">
        <w:rPr>
          <w:rFonts w:ascii="Garamond" w:hAnsi="Garamond" w:cs="Arial"/>
          <w:color w:val="222222"/>
          <w:shd w:val="clear" w:color="auto" w:fill="FFFFFF"/>
        </w:rPr>
        <w:t>, T. H. (2023). The fractured-land hypothesis.</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The Quarterly Journal of Economics</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138</w:t>
      </w:r>
      <w:r w:rsidRPr="0067573C">
        <w:rPr>
          <w:rFonts w:ascii="Garamond" w:hAnsi="Garamond" w:cs="Arial"/>
          <w:color w:val="222222"/>
          <w:shd w:val="clear" w:color="auto" w:fill="FFFFFF"/>
        </w:rPr>
        <w:t>(2), 1173-1231.</w:t>
      </w:r>
    </w:p>
    <w:p w14:paraId="03BDB289" w14:textId="77777777" w:rsidR="0067573C" w:rsidRPr="0067573C" w:rsidRDefault="0067573C" w:rsidP="007A5AD1">
      <w:pPr>
        <w:pStyle w:val="p1"/>
        <w:jc w:val="both"/>
        <w:rPr>
          <w:rFonts w:ascii="Garamond" w:hAnsi="Garamond" w:cs="Arial"/>
          <w:color w:val="222222"/>
          <w:shd w:val="clear" w:color="auto" w:fill="FFFFFF"/>
        </w:rPr>
      </w:pPr>
    </w:p>
    <w:p w14:paraId="2E14C145" w14:textId="5FECB856" w:rsidR="0067573C" w:rsidRPr="0067573C" w:rsidRDefault="0067573C" w:rsidP="007A5AD1">
      <w:pPr>
        <w:pStyle w:val="p1"/>
        <w:jc w:val="both"/>
        <w:rPr>
          <w:rFonts w:ascii="Garamond" w:hAnsi="Garamond" w:cs="Arial"/>
          <w:color w:val="222222"/>
          <w:shd w:val="clear" w:color="auto" w:fill="FFFFFF"/>
        </w:rPr>
      </w:pPr>
      <w:proofErr w:type="spellStart"/>
      <w:r w:rsidRPr="0067573C">
        <w:rPr>
          <w:rFonts w:ascii="Garamond" w:hAnsi="Garamond" w:cs="Arial"/>
          <w:color w:val="222222"/>
          <w:shd w:val="clear" w:color="auto" w:fill="FFFFFF"/>
        </w:rPr>
        <w:t>Flückiger</w:t>
      </w:r>
      <w:proofErr w:type="spellEnd"/>
      <w:r w:rsidRPr="0067573C">
        <w:rPr>
          <w:rFonts w:ascii="Garamond" w:hAnsi="Garamond" w:cs="Arial"/>
          <w:color w:val="222222"/>
          <w:shd w:val="clear" w:color="auto" w:fill="FFFFFF"/>
        </w:rPr>
        <w:t>, M., Hornung, E., Larch, M., Ludwig, M., &amp; Mees, A. (2022). Roman transport network connectivity and economic integration.</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The Review of Economic Studies</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89</w:t>
      </w:r>
      <w:r w:rsidRPr="0067573C">
        <w:rPr>
          <w:rFonts w:ascii="Garamond" w:hAnsi="Garamond" w:cs="Arial"/>
          <w:color w:val="222222"/>
          <w:shd w:val="clear" w:color="auto" w:fill="FFFFFF"/>
        </w:rPr>
        <w:t>(2), 774-810.</w:t>
      </w:r>
    </w:p>
    <w:p w14:paraId="6F9A1A60" w14:textId="77777777" w:rsidR="0067573C" w:rsidRPr="0067573C" w:rsidRDefault="0067573C" w:rsidP="007A5AD1">
      <w:pPr>
        <w:pStyle w:val="p1"/>
        <w:jc w:val="both"/>
        <w:rPr>
          <w:rFonts w:ascii="Garamond" w:hAnsi="Garamond" w:cs="Arial"/>
          <w:color w:val="222222"/>
          <w:shd w:val="clear" w:color="auto" w:fill="FFFFFF"/>
        </w:rPr>
      </w:pPr>
    </w:p>
    <w:p w14:paraId="50A5D70F" w14:textId="59741E75" w:rsidR="0067573C" w:rsidRDefault="0067573C"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 xml:space="preserve">Geloso, V. J., &amp; Salter, A. W. (2020). State capacity and economic development: Causal mechanism or correlative </w:t>
      </w:r>
      <w:proofErr w:type="gramStart"/>
      <w:r w:rsidRPr="0067573C">
        <w:rPr>
          <w:rFonts w:ascii="Garamond" w:hAnsi="Garamond" w:cs="Arial"/>
          <w:color w:val="222222"/>
          <w:shd w:val="clear" w:color="auto" w:fill="FFFFFF"/>
        </w:rPr>
        <w:t>filter?.</w:t>
      </w:r>
      <w:proofErr w:type="gramEnd"/>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Journal of Economic Behavior &amp; Organization</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170</w:t>
      </w:r>
      <w:r w:rsidRPr="0067573C">
        <w:rPr>
          <w:rFonts w:ascii="Garamond" w:hAnsi="Garamond" w:cs="Arial"/>
          <w:color w:val="222222"/>
          <w:shd w:val="clear" w:color="auto" w:fill="FFFFFF"/>
        </w:rPr>
        <w:t>, 372-385.</w:t>
      </w:r>
    </w:p>
    <w:p w14:paraId="7D226749" w14:textId="77777777" w:rsidR="00D579CE" w:rsidRDefault="00D579CE" w:rsidP="007A5AD1">
      <w:pPr>
        <w:pStyle w:val="p1"/>
        <w:jc w:val="both"/>
        <w:rPr>
          <w:rFonts w:ascii="Garamond" w:hAnsi="Garamond" w:cs="Arial"/>
          <w:color w:val="222222"/>
          <w:shd w:val="clear" w:color="auto" w:fill="FFFFFF"/>
        </w:rPr>
      </w:pPr>
    </w:p>
    <w:p w14:paraId="011827E8" w14:textId="350031CF" w:rsidR="00D579CE" w:rsidRPr="00D579CE" w:rsidRDefault="00D579CE" w:rsidP="007A5AD1">
      <w:pPr>
        <w:pStyle w:val="p1"/>
        <w:jc w:val="both"/>
        <w:rPr>
          <w:rFonts w:ascii="Garamond" w:hAnsi="Garamond"/>
        </w:rPr>
      </w:pPr>
      <w:r w:rsidRPr="00D579CE">
        <w:rPr>
          <w:rFonts w:ascii="Garamond" w:hAnsi="Garamond" w:cs="Arial"/>
          <w:color w:val="222222"/>
          <w:shd w:val="clear" w:color="auto" w:fill="FFFFFF"/>
        </w:rPr>
        <w:t>Hendrickson, J. R., Salter, A. W., &amp; Albrecht, B. C. (2018). Preventing plunder: Military technology, capital accumulation, and economic growth.</w:t>
      </w:r>
      <w:r w:rsidRPr="00D579CE">
        <w:rPr>
          <w:rStyle w:val="apple-converted-space"/>
          <w:rFonts w:ascii="Garamond" w:hAnsi="Garamond" w:cs="Arial"/>
          <w:color w:val="222222"/>
          <w:shd w:val="clear" w:color="auto" w:fill="FFFFFF"/>
        </w:rPr>
        <w:t> </w:t>
      </w:r>
      <w:r w:rsidRPr="00D579CE">
        <w:rPr>
          <w:rFonts w:ascii="Garamond" w:hAnsi="Garamond" w:cs="Arial"/>
          <w:i/>
          <w:iCs/>
          <w:color w:val="222222"/>
        </w:rPr>
        <w:t>Journal of Macroeconomics</w:t>
      </w:r>
      <w:r w:rsidRPr="00D579CE">
        <w:rPr>
          <w:rFonts w:ascii="Garamond" w:hAnsi="Garamond" w:cs="Arial"/>
          <w:color w:val="222222"/>
          <w:shd w:val="clear" w:color="auto" w:fill="FFFFFF"/>
        </w:rPr>
        <w:t>,</w:t>
      </w:r>
      <w:r w:rsidRPr="00D579CE">
        <w:rPr>
          <w:rStyle w:val="apple-converted-space"/>
          <w:rFonts w:ascii="Garamond" w:hAnsi="Garamond" w:cs="Arial"/>
          <w:color w:val="222222"/>
          <w:shd w:val="clear" w:color="auto" w:fill="FFFFFF"/>
        </w:rPr>
        <w:t> </w:t>
      </w:r>
      <w:r w:rsidRPr="00D579CE">
        <w:rPr>
          <w:rFonts w:ascii="Garamond" w:hAnsi="Garamond" w:cs="Arial"/>
          <w:i/>
          <w:iCs/>
          <w:color w:val="222222"/>
        </w:rPr>
        <w:t>58</w:t>
      </w:r>
      <w:r w:rsidRPr="00D579CE">
        <w:rPr>
          <w:rFonts w:ascii="Garamond" w:hAnsi="Garamond" w:cs="Arial"/>
          <w:color w:val="222222"/>
          <w:shd w:val="clear" w:color="auto" w:fill="FFFFFF"/>
        </w:rPr>
        <w:t>, 154-173.</w:t>
      </w:r>
    </w:p>
    <w:p w14:paraId="03D67717" w14:textId="77777777" w:rsidR="007A5AD1" w:rsidRPr="0067573C" w:rsidRDefault="007A5AD1" w:rsidP="007A5AD1">
      <w:pPr>
        <w:pStyle w:val="p1"/>
        <w:jc w:val="both"/>
        <w:rPr>
          <w:rFonts w:ascii="Garamond" w:hAnsi="Garamond" w:cs="Arial"/>
          <w:color w:val="222222"/>
          <w:shd w:val="clear" w:color="auto" w:fill="FFFFFF"/>
        </w:rPr>
      </w:pPr>
    </w:p>
    <w:p w14:paraId="7A33811D" w14:textId="0438064C" w:rsidR="007A5AD1" w:rsidRPr="0067573C" w:rsidRDefault="007A5AD1" w:rsidP="007A5AD1">
      <w:pPr>
        <w:pStyle w:val="p1"/>
        <w:jc w:val="both"/>
        <w:rPr>
          <w:rFonts w:ascii="Garamond" w:hAnsi="Garamond"/>
        </w:rPr>
      </w:pPr>
      <w:r w:rsidRPr="0067573C">
        <w:rPr>
          <w:rFonts w:ascii="Garamond" w:hAnsi="Garamond"/>
        </w:rPr>
        <w:t xml:space="preserve">Olsson, O., &amp; Hibbs Jr, D. A. (2005). Biogeography and long-run economic development. </w:t>
      </w:r>
      <w:r w:rsidRPr="0067573C">
        <w:rPr>
          <w:rFonts w:ascii="Garamond" w:hAnsi="Garamond"/>
          <w:i/>
          <w:iCs/>
        </w:rPr>
        <w:t>European Economic Review</w:t>
      </w:r>
      <w:r w:rsidRPr="0067573C">
        <w:rPr>
          <w:rFonts w:ascii="Garamond" w:hAnsi="Garamond"/>
        </w:rPr>
        <w:t>, 49(4), 909-938.</w:t>
      </w:r>
    </w:p>
    <w:p w14:paraId="2B203DA2" w14:textId="77777777" w:rsidR="0067573C" w:rsidRPr="0067573C" w:rsidRDefault="0067573C" w:rsidP="007A5AD1">
      <w:pPr>
        <w:pStyle w:val="p1"/>
        <w:jc w:val="both"/>
        <w:rPr>
          <w:rFonts w:ascii="Garamond" w:hAnsi="Garamond"/>
        </w:rPr>
      </w:pPr>
    </w:p>
    <w:p w14:paraId="23A380AB" w14:textId="734DE204" w:rsidR="0067573C" w:rsidRDefault="0067573C"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Piano, E. E. (2019). State capacity and public choice: a critical survey.</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Public Choice</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178</w:t>
      </w:r>
      <w:r w:rsidRPr="0067573C">
        <w:rPr>
          <w:rFonts w:ascii="Garamond" w:hAnsi="Garamond" w:cs="Arial"/>
          <w:color w:val="222222"/>
          <w:shd w:val="clear" w:color="auto" w:fill="FFFFFF"/>
        </w:rPr>
        <w:t>(1), 289-309.</w:t>
      </w:r>
    </w:p>
    <w:p w14:paraId="160A8B94" w14:textId="77777777" w:rsidR="00D579CE" w:rsidRDefault="00D579CE" w:rsidP="007A5AD1">
      <w:pPr>
        <w:pStyle w:val="p1"/>
        <w:jc w:val="both"/>
        <w:rPr>
          <w:rFonts w:ascii="Arial" w:hAnsi="Arial" w:cs="Arial"/>
          <w:color w:val="222222"/>
          <w:sz w:val="20"/>
          <w:szCs w:val="20"/>
          <w:shd w:val="clear" w:color="auto" w:fill="FFFFFF"/>
        </w:rPr>
      </w:pPr>
    </w:p>
    <w:p w14:paraId="59A7B664" w14:textId="3B0A5278" w:rsidR="00D579CE" w:rsidRDefault="00D579CE" w:rsidP="007A5AD1">
      <w:pPr>
        <w:pStyle w:val="p1"/>
        <w:jc w:val="both"/>
        <w:rPr>
          <w:rFonts w:ascii="Garamond" w:hAnsi="Garamond" w:cs="Arial"/>
          <w:color w:val="222222"/>
          <w:shd w:val="clear" w:color="auto" w:fill="FFFFFF"/>
        </w:rPr>
      </w:pPr>
      <w:r w:rsidRPr="00D579CE">
        <w:rPr>
          <w:rFonts w:ascii="Garamond" w:hAnsi="Garamond" w:cs="Arial"/>
          <w:color w:val="222222"/>
          <w:shd w:val="clear" w:color="auto" w:fill="FFFFFF"/>
        </w:rPr>
        <w:t>Piano, E. E., &amp; Salter, A. W. (2021). The fundamental Coase of development: property rights foundations of the effective state.</w:t>
      </w:r>
      <w:r w:rsidRPr="00D579CE">
        <w:rPr>
          <w:rStyle w:val="apple-converted-space"/>
          <w:rFonts w:ascii="Garamond" w:hAnsi="Garamond" w:cs="Arial"/>
          <w:color w:val="222222"/>
          <w:shd w:val="clear" w:color="auto" w:fill="FFFFFF"/>
        </w:rPr>
        <w:t> </w:t>
      </w:r>
      <w:r w:rsidRPr="00D579CE">
        <w:rPr>
          <w:rFonts w:ascii="Garamond" w:hAnsi="Garamond" w:cs="Arial"/>
          <w:i/>
          <w:iCs/>
          <w:color w:val="222222"/>
        </w:rPr>
        <w:t>Journal of Institutional Economics</w:t>
      </w:r>
      <w:r w:rsidRPr="00D579CE">
        <w:rPr>
          <w:rFonts w:ascii="Garamond" w:hAnsi="Garamond" w:cs="Arial"/>
          <w:color w:val="222222"/>
          <w:shd w:val="clear" w:color="auto" w:fill="FFFFFF"/>
        </w:rPr>
        <w:t>,</w:t>
      </w:r>
      <w:r w:rsidRPr="00D579CE">
        <w:rPr>
          <w:rStyle w:val="apple-converted-space"/>
          <w:rFonts w:ascii="Garamond" w:hAnsi="Garamond" w:cs="Arial"/>
          <w:color w:val="222222"/>
          <w:shd w:val="clear" w:color="auto" w:fill="FFFFFF"/>
        </w:rPr>
        <w:t> </w:t>
      </w:r>
      <w:r w:rsidRPr="00D579CE">
        <w:rPr>
          <w:rFonts w:ascii="Garamond" w:hAnsi="Garamond" w:cs="Arial"/>
          <w:i/>
          <w:iCs/>
          <w:color w:val="222222"/>
        </w:rPr>
        <w:t>17</w:t>
      </w:r>
      <w:r w:rsidRPr="00D579CE">
        <w:rPr>
          <w:rFonts w:ascii="Garamond" w:hAnsi="Garamond" w:cs="Arial"/>
          <w:color w:val="222222"/>
          <w:shd w:val="clear" w:color="auto" w:fill="FFFFFF"/>
        </w:rPr>
        <w:t>(1), 37-52.</w:t>
      </w:r>
    </w:p>
    <w:p w14:paraId="3C8A5819" w14:textId="77777777" w:rsidR="00152F57" w:rsidRDefault="00152F57" w:rsidP="007A5AD1">
      <w:pPr>
        <w:pStyle w:val="p1"/>
        <w:jc w:val="both"/>
        <w:rPr>
          <w:rFonts w:ascii="Garamond" w:hAnsi="Garamond" w:cs="Arial"/>
          <w:color w:val="222222"/>
          <w:shd w:val="clear" w:color="auto" w:fill="FFFFFF"/>
        </w:rPr>
      </w:pPr>
    </w:p>
    <w:p w14:paraId="3BABF068" w14:textId="0AF08E89" w:rsidR="00152F57" w:rsidRPr="00152F57" w:rsidRDefault="00152F57" w:rsidP="007A5AD1">
      <w:pPr>
        <w:pStyle w:val="p1"/>
        <w:jc w:val="both"/>
        <w:rPr>
          <w:rFonts w:ascii="Garamond" w:hAnsi="Garamond"/>
        </w:rPr>
      </w:pPr>
      <w:r w:rsidRPr="00152F57">
        <w:rPr>
          <w:rFonts w:ascii="Garamond" w:hAnsi="Garamond" w:cs="Arial"/>
          <w:color w:val="222222"/>
          <w:shd w:val="clear" w:color="auto" w:fill="FFFFFF"/>
        </w:rPr>
        <w:t>Masten, M. A., &amp; Poirier, A. (202</w:t>
      </w:r>
      <w:r>
        <w:rPr>
          <w:rFonts w:ascii="Garamond" w:hAnsi="Garamond" w:cs="Arial"/>
          <w:color w:val="222222"/>
          <w:shd w:val="clear" w:color="auto" w:fill="FFFFFF"/>
        </w:rPr>
        <w:t>6</w:t>
      </w:r>
      <w:r w:rsidRPr="00152F57">
        <w:rPr>
          <w:rFonts w:ascii="Garamond" w:hAnsi="Garamond" w:cs="Arial"/>
          <w:color w:val="222222"/>
          <w:shd w:val="clear" w:color="auto" w:fill="FFFFFF"/>
        </w:rPr>
        <w:t>). The effect of omitted variables on the sign of regression coefficients.</w:t>
      </w:r>
      <w:r w:rsidRPr="00152F57">
        <w:rPr>
          <w:rStyle w:val="apple-converted-space"/>
          <w:rFonts w:ascii="Garamond" w:hAnsi="Garamond" w:cs="Arial"/>
          <w:color w:val="222222"/>
          <w:shd w:val="clear" w:color="auto" w:fill="FFFFFF"/>
        </w:rPr>
        <w:t> </w:t>
      </w:r>
      <w:r w:rsidRPr="00152F57">
        <w:rPr>
          <w:rFonts w:ascii="Garamond" w:hAnsi="Garamond" w:cs="Arial"/>
          <w:i/>
          <w:iCs/>
          <w:color w:val="222222"/>
        </w:rPr>
        <w:t>American</w:t>
      </w:r>
      <w:r>
        <w:rPr>
          <w:rFonts w:ascii="Garamond" w:hAnsi="Garamond" w:cs="Arial"/>
          <w:i/>
          <w:iCs/>
          <w:color w:val="222222"/>
        </w:rPr>
        <w:t xml:space="preserve"> Economic Review</w:t>
      </w:r>
      <w:r>
        <w:rPr>
          <w:rFonts w:ascii="Garamond" w:hAnsi="Garamond" w:cs="Arial"/>
          <w:color w:val="222222"/>
        </w:rPr>
        <w:t xml:space="preserve"> (Forthcoming)</w:t>
      </w:r>
    </w:p>
    <w:p w14:paraId="71C004BA" w14:textId="77777777" w:rsidR="00514A58" w:rsidRPr="0067573C" w:rsidRDefault="00514A58" w:rsidP="007A5AD1">
      <w:pPr>
        <w:pStyle w:val="p1"/>
        <w:jc w:val="both"/>
        <w:rPr>
          <w:rFonts w:ascii="Garamond" w:hAnsi="Garamond"/>
        </w:rPr>
      </w:pPr>
    </w:p>
    <w:p w14:paraId="2C7AC445" w14:textId="56C1530E" w:rsidR="0067573C" w:rsidRPr="0067573C" w:rsidRDefault="00514A58"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Rodríguez, F., &amp; Imam, P. (2025). Political growth collapses.</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Public Choice</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205</w:t>
      </w:r>
      <w:r w:rsidRPr="0067573C">
        <w:rPr>
          <w:rFonts w:ascii="Garamond" w:hAnsi="Garamond" w:cs="Arial"/>
          <w:color w:val="222222"/>
          <w:shd w:val="clear" w:color="auto" w:fill="FFFFFF"/>
        </w:rPr>
        <w:t>(1), 183-217</w:t>
      </w:r>
    </w:p>
    <w:p w14:paraId="7312D7E0" w14:textId="77777777" w:rsidR="00A13C87" w:rsidRPr="0067573C" w:rsidRDefault="00A13C87" w:rsidP="007A5AD1">
      <w:pPr>
        <w:pStyle w:val="p1"/>
        <w:jc w:val="both"/>
        <w:rPr>
          <w:rFonts w:ascii="Garamond" w:hAnsi="Garamond"/>
        </w:rPr>
      </w:pPr>
    </w:p>
    <w:p w14:paraId="18EFAD04" w14:textId="48489DD1" w:rsidR="0067573C" w:rsidRPr="0067573C" w:rsidRDefault="0067573C" w:rsidP="007A5AD1">
      <w:pPr>
        <w:pStyle w:val="p1"/>
        <w:jc w:val="both"/>
        <w:rPr>
          <w:rFonts w:ascii="Garamond" w:hAnsi="Garamond" w:cs="Arial"/>
          <w:color w:val="222222"/>
          <w:shd w:val="clear" w:color="auto" w:fill="FFFFFF"/>
        </w:rPr>
      </w:pPr>
      <w:r w:rsidRPr="0067573C">
        <w:rPr>
          <w:rFonts w:ascii="Garamond" w:hAnsi="Garamond" w:cs="Arial"/>
          <w:color w:val="222222"/>
          <w:shd w:val="clear" w:color="auto" w:fill="FFFFFF"/>
        </w:rPr>
        <w:t>Young, A. T. (2016). What does it take for a roving bandit settle down? Theory and an illustrative history of the Visigoths.</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Public Choice</w:t>
      </w:r>
      <w:r w:rsidRPr="0067573C">
        <w:rPr>
          <w:rFonts w:ascii="Garamond" w:hAnsi="Garamond" w:cs="Arial"/>
          <w:color w:val="222222"/>
          <w:shd w:val="clear" w:color="auto" w:fill="FFFFFF"/>
        </w:rPr>
        <w:t>,</w:t>
      </w:r>
      <w:r w:rsidRPr="0067573C">
        <w:rPr>
          <w:rStyle w:val="apple-converted-space"/>
          <w:rFonts w:ascii="Garamond" w:hAnsi="Garamond" w:cs="Arial"/>
          <w:color w:val="222222"/>
          <w:shd w:val="clear" w:color="auto" w:fill="FFFFFF"/>
        </w:rPr>
        <w:t> </w:t>
      </w:r>
      <w:r w:rsidRPr="0067573C">
        <w:rPr>
          <w:rFonts w:ascii="Garamond" w:hAnsi="Garamond" w:cs="Arial"/>
          <w:i/>
          <w:iCs/>
          <w:color w:val="222222"/>
        </w:rPr>
        <w:t>168</w:t>
      </w:r>
      <w:r w:rsidRPr="0067573C">
        <w:rPr>
          <w:rFonts w:ascii="Garamond" w:hAnsi="Garamond" w:cs="Arial"/>
          <w:color w:val="222222"/>
          <w:shd w:val="clear" w:color="auto" w:fill="FFFFFF"/>
        </w:rPr>
        <w:t>(1), 75-102.</w:t>
      </w:r>
    </w:p>
    <w:p w14:paraId="655D1D48" w14:textId="77777777" w:rsidR="0067573C" w:rsidRDefault="0067573C" w:rsidP="007A5AD1">
      <w:pPr>
        <w:pStyle w:val="p1"/>
        <w:jc w:val="both"/>
        <w:rPr>
          <w:rFonts w:ascii="Arial" w:hAnsi="Arial" w:cs="Arial"/>
          <w:color w:val="222222"/>
          <w:sz w:val="20"/>
          <w:szCs w:val="20"/>
          <w:shd w:val="clear" w:color="auto" w:fill="FFFFFF"/>
        </w:rPr>
      </w:pPr>
    </w:p>
    <w:sectPr w:rsidR="0067573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7493A0" w14:textId="77777777" w:rsidR="001A371C" w:rsidRDefault="001A371C" w:rsidP="00514A58">
      <w:pPr>
        <w:spacing w:after="0" w:line="240" w:lineRule="auto"/>
      </w:pPr>
      <w:r>
        <w:separator/>
      </w:r>
    </w:p>
  </w:endnote>
  <w:endnote w:type="continuationSeparator" w:id="0">
    <w:p w14:paraId="4A5013D6" w14:textId="77777777" w:rsidR="001A371C" w:rsidRDefault="001A371C" w:rsidP="00514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F58CFA" w14:textId="77777777" w:rsidR="001A371C" w:rsidRDefault="001A371C" w:rsidP="00514A58">
      <w:pPr>
        <w:spacing w:after="0" w:line="240" w:lineRule="auto"/>
      </w:pPr>
      <w:r>
        <w:separator/>
      </w:r>
    </w:p>
  </w:footnote>
  <w:footnote w:type="continuationSeparator" w:id="0">
    <w:p w14:paraId="0ACF4362" w14:textId="77777777" w:rsidR="001A371C" w:rsidRDefault="001A371C" w:rsidP="00514A58">
      <w:pPr>
        <w:spacing w:after="0" w:line="240" w:lineRule="auto"/>
      </w:pPr>
      <w:r>
        <w:continuationSeparator/>
      </w:r>
    </w:p>
  </w:footnote>
  <w:footnote w:id="1">
    <w:p w14:paraId="3D10BD92" w14:textId="77777777" w:rsidR="00D579CE" w:rsidRDefault="00D579CE" w:rsidP="00D820AA">
      <w:pPr>
        <w:pStyle w:val="FootnoteText"/>
        <w:jc w:val="both"/>
      </w:pPr>
      <w:r>
        <w:rPr>
          <w:rStyle w:val="FootnoteReference"/>
        </w:rPr>
        <w:footnoteRef/>
      </w:r>
      <w:r>
        <w:t xml:space="preserve"> Young (2016) has an excellent theoretical discussion of this political economy literature. Bastos (2025) compiles data on several geographical characteristics and colonial dependency from previous literature that could be useful, while Rodriguez and Imam (2025) provide a model on the political economy of regime survival and elite rents that directly connects to the tradeoff imposed by closure here: “Closure thus serves a domestic political function—preserving the incumbent's coalition—even as it imposes long-run economic costs.” (p.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D409C4"/>
    <w:multiLevelType w:val="hybridMultilevel"/>
    <w:tmpl w:val="ACC81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0B0510"/>
    <w:multiLevelType w:val="hybridMultilevel"/>
    <w:tmpl w:val="C68ECE2E"/>
    <w:lvl w:ilvl="0" w:tplc="2EFE3350">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6996391">
    <w:abstractNumId w:val="0"/>
  </w:num>
  <w:num w:numId="2" w16cid:durableId="20356288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014"/>
    <w:rsid w:val="00152F57"/>
    <w:rsid w:val="001A371C"/>
    <w:rsid w:val="003B3479"/>
    <w:rsid w:val="004A3749"/>
    <w:rsid w:val="00514A58"/>
    <w:rsid w:val="00535472"/>
    <w:rsid w:val="0067573C"/>
    <w:rsid w:val="007549A7"/>
    <w:rsid w:val="007A5AD1"/>
    <w:rsid w:val="007D4D03"/>
    <w:rsid w:val="007D63E9"/>
    <w:rsid w:val="00891FDE"/>
    <w:rsid w:val="008944BE"/>
    <w:rsid w:val="00994014"/>
    <w:rsid w:val="00A13C87"/>
    <w:rsid w:val="00A15F6D"/>
    <w:rsid w:val="00AB5F47"/>
    <w:rsid w:val="00B00055"/>
    <w:rsid w:val="00B645FC"/>
    <w:rsid w:val="00D45B10"/>
    <w:rsid w:val="00D579CE"/>
    <w:rsid w:val="00D820AA"/>
    <w:rsid w:val="00E65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098C1"/>
  <w15:chartTrackingRefBased/>
  <w15:docId w15:val="{F2735B37-A79E-3446-B555-D0A8A632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4BE"/>
  </w:style>
  <w:style w:type="paragraph" w:styleId="Heading1">
    <w:name w:val="heading 1"/>
    <w:basedOn w:val="Normal"/>
    <w:next w:val="Normal"/>
    <w:link w:val="Heading1Char"/>
    <w:uiPriority w:val="9"/>
    <w:qFormat/>
    <w:rsid w:val="0089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BE"/>
    <w:rPr>
      <w:rFonts w:eastAsiaTheme="majorEastAsia" w:cstheme="majorBidi"/>
      <w:color w:val="272727" w:themeColor="text1" w:themeTint="D8"/>
    </w:rPr>
  </w:style>
  <w:style w:type="paragraph" w:styleId="Title">
    <w:name w:val="Title"/>
    <w:basedOn w:val="Normal"/>
    <w:next w:val="Normal"/>
    <w:link w:val="TitleChar"/>
    <w:uiPriority w:val="10"/>
    <w:qFormat/>
    <w:rsid w:val="0089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B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944BE"/>
    <w:pPr>
      <w:ind w:left="720"/>
      <w:contextualSpacing/>
    </w:pPr>
  </w:style>
  <w:style w:type="paragraph" w:styleId="Quote">
    <w:name w:val="Quote"/>
    <w:basedOn w:val="Normal"/>
    <w:next w:val="Normal"/>
    <w:link w:val="QuoteChar"/>
    <w:uiPriority w:val="29"/>
    <w:qFormat/>
    <w:rsid w:val="008944BE"/>
    <w:pPr>
      <w:spacing w:before="160"/>
      <w:jc w:val="center"/>
    </w:pPr>
    <w:rPr>
      <w:i/>
      <w:iCs/>
      <w:color w:val="404040" w:themeColor="text1" w:themeTint="BF"/>
    </w:rPr>
  </w:style>
  <w:style w:type="character" w:customStyle="1" w:styleId="QuoteChar">
    <w:name w:val="Quote Char"/>
    <w:basedOn w:val="DefaultParagraphFont"/>
    <w:link w:val="Quote"/>
    <w:uiPriority w:val="29"/>
    <w:rsid w:val="008944BE"/>
    <w:rPr>
      <w:i/>
      <w:iCs/>
      <w:color w:val="404040" w:themeColor="text1" w:themeTint="BF"/>
    </w:rPr>
  </w:style>
  <w:style w:type="paragraph" w:styleId="IntenseQuote">
    <w:name w:val="Intense Quote"/>
    <w:basedOn w:val="Normal"/>
    <w:next w:val="Normal"/>
    <w:link w:val="IntenseQuoteChar"/>
    <w:uiPriority w:val="30"/>
    <w:qFormat/>
    <w:rsid w:val="0089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4BE"/>
    <w:rPr>
      <w:i/>
      <w:iCs/>
      <w:color w:val="0F4761" w:themeColor="accent1" w:themeShade="BF"/>
    </w:rPr>
  </w:style>
  <w:style w:type="character" w:styleId="IntenseEmphasis">
    <w:name w:val="Intense Emphasis"/>
    <w:basedOn w:val="DefaultParagraphFont"/>
    <w:uiPriority w:val="21"/>
    <w:qFormat/>
    <w:rsid w:val="008944BE"/>
    <w:rPr>
      <w:i/>
      <w:iCs/>
      <w:color w:val="0F4761" w:themeColor="accent1" w:themeShade="BF"/>
    </w:rPr>
  </w:style>
  <w:style w:type="character" w:styleId="IntenseReference">
    <w:name w:val="Intense Reference"/>
    <w:basedOn w:val="DefaultParagraphFont"/>
    <w:uiPriority w:val="32"/>
    <w:qFormat/>
    <w:rsid w:val="008944BE"/>
    <w:rPr>
      <w:b/>
      <w:bCs/>
      <w:smallCaps/>
      <w:color w:val="0F4761" w:themeColor="accent1" w:themeShade="BF"/>
      <w:spacing w:val="5"/>
    </w:rPr>
  </w:style>
  <w:style w:type="paragraph" w:customStyle="1" w:styleId="p1">
    <w:name w:val="p1"/>
    <w:basedOn w:val="Normal"/>
    <w:rsid w:val="00994014"/>
    <w:pPr>
      <w:spacing w:after="0" w:line="240" w:lineRule="auto"/>
    </w:pPr>
    <w:rPr>
      <w:rFonts w:ascii="Times New Roman" w:eastAsia="Times New Roman" w:hAnsi="Times New Roman" w:cs="Times New Roman"/>
      <w:color w:val="000000"/>
      <w:kern w:val="0"/>
      <w14:ligatures w14:val="none"/>
    </w:rPr>
  </w:style>
  <w:style w:type="character" w:customStyle="1" w:styleId="apple-converted-space">
    <w:name w:val="apple-converted-space"/>
    <w:basedOn w:val="DefaultParagraphFont"/>
    <w:rsid w:val="007A5AD1"/>
  </w:style>
  <w:style w:type="paragraph" w:styleId="FootnoteText">
    <w:name w:val="footnote text"/>
    <w:basedOn w:val="Normal"/>
    <w:link w:val="FootnoteTextChar"/>
    <w:uiPriority w:val="99"/>
    <w:semiHidden/>
    <w:unhideWhenUsed/>
    <w:rsid w:val="00514A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4A58"/>
    <w:rPr>
      <w:sz w:val="20"/>
      <w:szCs w:val="20"/>
    </w:rPr>
  </w:style>
  <w:style w:type="character" w:styleId="FootnoteReference">
    <w:name w:val="footnote reference"/>
    <w:basedOn w:val="DefaultParagraphFont"/>
    <w:uiPriority w:val="99"/>
    <w:semiHidden/>
    <w:unhideWhenUsed/>
    <w:rsid w:val="00514A58"/>
    <w:rPr>
      <w:vertAlign w:val="superscript"/>
    </w:rPr>
  </w:style>
  <w:style w:type="character" w:styleId="Hyperlink">
    <w:name w:val="Hyperlink"/>
    <w:basedOn w:val="DefaultParagraphFont"/>
    <w:uiPriority w:val="99"/>
    <w:unhideWhenUsed/>
    <w:rsid w:val="00B00055"/>
    <w:rPr>
      <w:color w:val="467886" w:themeColor="hyperlink"/>
      <w:u w:val="single"/>
    </w:rPr>
  </w:style>
  <w:style w:type="character" w:styleId="UnresolvedMention">
    <w:name w:val="Unresolved Mention"/>
    <w:basedOn w:val="DefaultParagraphFont"/>
    <w:uiPriority w:val="99"/>
    <w:semiHidden/>
    <w:unhideWhenUsed/>
    <w:rsid w:val="00B00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static-content.springer.com/esm/art%3A10.1007%2Fs11127-025-01282-5/MediaObjects/11127_2025_1282_MOESM1_ESM.pdf" TargetMode="External" Type="http://schemas.openxmlformats.org/officeDocument/2006/relationships/hyperlink"/><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2BAAC-5A1B-7943-8BA9-30F730D3E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1171</Words>
  <Characters>6679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2026-06-20T15:54:00Z</dcterms:created>
  <dcterms:modified xsi:type="dcterms:W3CDTF">2026-06-20T20:48:00Z</dcterms:modified>
  <cp:revision>5</cp:revision>
</cp:coreProperties>
</file>