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under universal coverage in Japan: a cross-sectional ecological study of secondary medical areas</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2895 words</w:t>
      </w:r>
    </w:p>
    <w:p>
      <w:r>
        <w:rPr>
          <w:rFonts w:ascii="Times New Roman" w:hAnsi="Times New Roman"/>
          <w:i/>
          <w:sz w:val="24"/>
        </w:rPr>
        <w:t>Tables: 3   Figures: 2   References: 22</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Journal of Epidemiology &amp; Community Health</w:t>
      </w:r>
    </w:p>
    <w:p>
      <w:r>
        <w:br w:type="page"/>
      </w:r>
    </w:p>
    <w:p>
      <w:pPr>
        <w:jc w:val="center"/>
      </w:pPr>
      <w:r>
        <w:rPr>
          <w:rFonts w:ascii="Times New Roman" w:hAnsi="Times New Roman"/>
          <w:b/>
          <w:sz w:val="24"/>
        </w:rPr>
        <w:t>Regional variation in anaesthesia practice under universal coverage in Japan: a cross-sectional ecological study of secondary medical areas</w:t>
      </w:r>
    </w:p>
    <w:p>
      <w:pPr>
        <w:spacing w:after="0"/>
      </w:pPr>
    </w:p>
    <w:p>
      <w:pPr>
        <w:spacing w:before="0" w:after="120"/>
      </w:pPr>
      <w:r>
        <w:rPr>
          <w:rFonts w:ascii="Times New Roman" w:hAnsi="Times New Roman"/>
          <w:b/>
          <w:sz w:val="26"/>
        </w:rPr>
        <w:t>ABSTRACT</w:t>
      </w:r>
    </w:p>
    <w:p>
      <w:r>
        <w:rPr>
          <w:rFonts w:ascii="Times New Roman" w:hAnsi="Times New Roman"/>
          <w:sz w:val="24"/>
        </w:rPr>
        <w:t>Background/aims: Geographic variation in anaesthesia practice is well documented, but it remains unclear whether it reflects real differences in care or artefacts of coding, reimbursement and auditing. Japan's uniform national fee schedule combined with prefecture-specific claims auditing offers a natural experiment for separating these explanations.</w:t>
      </w:r>
    </w:p>
    <w:p>
      <w:r>
        <w:rPr>
          <w:rFonts w:ascii="Times New Roman" w:hAnsi="Times New Roman"/>
          <w:sz w:val="24"/>
        </w:rPr>
        <w:t>Methods: We conducted a cross-sectional ecological study using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performed sensitivity analyses for population density, anaesthesiologist supply and plausible differential audit rates.</w:t>
      </w:r>
    </w:p>
    <w:p>
      <w:r>
        <w:rPr>
          <w:rFonts w:ascii="Times New Roman" w:hAnsi="Times New Roman"/>
          <w:sz w:val="24"/>
        </w:rPr>
        <w:t>Results: Coefficients of variation ranged from 53.7% (general anaesthesia) to 87.2% (epidural). For general anaesthesia, only 0.058 of variance lay between prefectures; university hospital presence explained 0.358 of total variance (</w:t>
      </w:r>
      <m:oMath>
        <m:r>
          <m:t xml:space="preserve">β </m:t>
        </m:r>
        <m:r>
          <m:t xml:space="preserve">= </m:t>
        </m:r>
        <m:r>
          <m:t xml:space="preserve">64.1</m:t>
        </m:r>
        <m:r>
          <m:t xml:space="preserve">, </m:t>
        </m:r>
        <m:r>
          <m:t xml:space="preserve">95% CI </m:t>
        </m:r>
        <m:r>
          <m:t xml:space="preserve">54.8 </m:t>
        </m:r>
        <m:r>
          <m:t xml:space="preserve">to </m:t>
        </m:r>
        <m:r>
          <m:t xml:space="preserve">73.4</m:t>
        </m:r>
        <m:r>
          <m:t xml:space="preserve">, </m:t>
        </m:r>
        <m:r>
          <m:t xml:space="preserve">P </m:t>
        </m:r>
        <m:r>
          <m:t xml:space="preserve">&lt;</m:t>
        </m:r>
        <m:r>
          <m:t xml:space="preserve">0.001</m:t>
        </m:r>
      </m:oMath>
      <w:r>
        <w:rPr>
          <w:rFonts w:ascii="Times New Roman" w:hAnsi="Times New Roman"/>
          <w:sz w:val="24"/>
        </w:rPr>
        <w:t>) and was positive in every prefecture. Maximum plausible audit-related ratio shifts were small relative to the observed interquartile range (general anaesthesia: 0.53%). Covariate adjustment attenuated but did not eliminate the university-hospital effect for general, epidural and continuous epidural anaesthesia.</w:t>
      </w:r>
    </w:p>
    <w:p>
      <w:r>
        <w:rPr>
          <w:rFonts w:ascii="Times New Roman" w:hAnsi="Times New Roman"/>
          <w:sz w:val="24"/>
        </w:rPr>
        <w:t>Conclusion: Regional variation in anaesthesia practice is predominantly structural, driven by access to university hospitals rather than by prefectural auditing. In Japan and similar universal-coverage systems, this pattern signals inequitable access to neuraxial techniques and should be addressed through workforce and organisational policy,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quality of care; patient safety; health equity; universal health coverage; Japan</w:t>
      </w:r>
    </w:p>
    <w:p>
      <w:r>
        <w:br w:type="page"/>
      </w:r>
    </w:p>
    <w:p>
      <w:pPr>
        <w:spacing w:before="0" w:after="120"/>
      </w:pPr>
      <w:r>
        <w:rPr>
          <w:rFonts w:ascii="Times New Roman" w:hAnsi="Times New Roman"/>
          <w:b/>
          <w:sz w:val="26"/>
        </w:rPr>
        <w:t>KEY MESSAGES</w:t>
      </w:r>
    </w:p>
    <w:p>
      <w:r>
        <w:rPr>
          <w:rFonts w:ascii="Times New Roman" w:hAnsi="Times New Roman"/>
          <w:b/>
          <w:sz w:val="24"/>
        </w:rPr>
        <w:t>What is already known on this topic</w:t>
      </w:r>
    </w:p>
    <w:p>
      <w:r>
        <w:rPr>
          <w:rFonts w:ascii="Times New Roman" w:hAnsi="Times New Roman"/>
          <w:sz w:val="24"/>
        </w:rPr>
        <w:t>Geographic variation in medical and surgical practice is a recurring finding in high-income countries, yet it is often difficult to separate genuine differences in care from artefacts of coding, reimbursement and audit policy. Universal-coverage systems that combine a national fee schedule with regionally devolved claims auditing provide a natural experiment for testing these alternative explanations.</w:t>
      </w:r>
    </w:p>
    <w:p>
      <w:r>
        <w:rPr>
          <w:rFonts w:ascii="Times New Roman" w:hAnsi="Times New Roman"/>
          <w:b/>
          <w:sz w:val="24"/>
        </w:rPr>
        <w:t>What this study adds</w:t>
      </w:r>
    </w:p>
    <w:p>
      <w:r>
        <w:rPr>
          <w:rFonts w:ascii="Times New Roman" w:hAnsi="Times New Roman"/>
          <w:sz w:val="24"/>
        </w:rPr>
        <w:t>In a nationwide cross-sectional ecological analysis of age- and sex-standardised anaesthesia claim ratios across 335 secondary medical areas of Japan, university hospital presence was the dominant structural determinant of variation in general, epidural and continuous epidural anaesthesia use. Prefecture-specific audit intensity could explain only a small fraction of the observed variation.</w:t>
      </w:r>
    </w:p>
    <w:p>
      <w:r>
        <w:rPr>
          <w:rFonts w:ascii="Times New Roman" w:hAnsi="Times New Roman"/>
          <w:b/>
          <w:sz w:val="24"/>
        </w:rPr>
        <w:t>How this study might affect research, practice or policy</w:t>
      </w:r>
    </w:p>
    <w:p>
      <w:r>
        <w:rPr>
          <w:rFonts w:ascii="Times New Roman" w:hAnsi="Times New Roman"/>
          <w:sz w:val="24"/>
        </w:rPr>
        <w:t>Administrative claims data should be used to monitor small-area variation in surgical care as a population-health equity indicator, and policy makers should address workforce and organisational determinants of access to neuraxial anaesthesia rather than treating geographic differences primarily as a coding or fraud problem.</w:t>
      </w:r>
    </w:p>
    <w:p>
      <w:r>
        <w:br w:type="page"/>
      </w:r>
    </w:p>
    <w:p>
      <w:pPr>
        <w:spacing w:before="0" w:after="120"/>
      </w:pPr>
      <w:r>
        <w:rPr>
          <w:rFonts w:ascii="Times New Roman" w:hAnsi="Times New Roman"/>
          <w:b/>
          <w:sz w:val="26"/>
        </w:rPr>
        <w:t>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vertAlign w:val="superscript"/>
        </w:rPr>
        <w:t>1</w:t>
      </w:r>
      <w:r>
        <w:rPr>
          <w:rFonts w:ascii="Times New Roman" w:hAnsi="Times New Roman"/>
          <w:sz w:val="24"/>
        </w:rPr>
        <w:t xml:space="preserve">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vertAlign w:val="superscript"/>
        </w:rPr>
        <w:t>1,2</w:t>
      </w:r>
      <w:r>
        <w:rPr>
          <w:rFonts w:ascii="Times New Roman" w:hAnsi="Times New Roman"/>
          <w:sz w:val="24"/>
        </w:rPr>
        <w:t xml:space="preserve"> The same records are also used for prefecture-level insurance auditing (shinsa), and audit intensity varies across prefectures.</w:t>
      </w:r>
      <w:r>
        <w:rPr>
          <w:rFonts w:ascii="Times New Roman" w:hAnsi="Times New Roman"/>
          <w:sz w:val="24"/>
          <w:vertAlign w:val="superscript"/>
        </w:rPr>
        <w:t>3</w:t>
      </w:r>
      <w:r>
        <w:rPr>
          <w:rFonts w:ascii="Times New Roman" w:hAnsi="Times New Roman"/>
          <w:sz w:val="24"/>
        </w:rPr>
        <w:t xml:space="preserve">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vertAlign w:val="superscript"/>
        </w:rPr>
        <w:t>4-6</w:t>
      </w:r>
      <w:r>
        <w:rPr>
          <w:rFonts w:ascii="Times New Roman" w:hAnsi="Times New Roman"/>
          <w:sz w:val="24"/>
        </w:rPr>
        <w:t xml:space="preserve"> If access to these techniques varies by geography, patients' probability of receiving potentially beneficial care depends on place of residence, an equity problem under universal coverage. Japan's 2026 fee-schedule revision clarified the billing code for general anaesthesia, reducing one source of coding ambiguity.</w:t>
      </w:r>
      <w:r>
        <w:rPr>
          <w:rFonts w:ascii="Times New Roman" w:hAnsi="Times New Roman"/>
          <w:sz w:val="24"/>
          <w:vertAlign w:val="superscript"/>
        </w:rPr>
        <w:t>7</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8</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9</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10</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11</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vertAlign w:val="superscript"/>
        </w:rPr>
        <w:t>12</w:t>
      </w:r>
      <w:r>
        <w:rPr>
          <w:rFonts w:ascii="Times New Roman" w:hAnsi="Times New Roman"/>
          <w:sz w:val="24"/>
        </w:rPr>
        <w:t xml:space="preserve"> Third, secondary medical area boundaries, land area and population density were obtained from the National Land Numerical Information medical-area dataset (A38-20).</w:t>
      </w:r>
      <w:r>
        <w:rPr>
          <w:rFonts w:ascii="Times New Roman" w:hAnsi="Times New Roman"/>
          <w:sz w:val="24"/>
          <w:vertAlign w:val="superscript"/>
        </w:rPr>
        <w:t>13</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 across 335 secondary medical areas of Japan, fiscal year 2022.</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General anaesthesia (closed-circuit)</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Regional technique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 as main technique</w:t>
            </w:r>
          </w:p>
        </w:tc>
        <w:tc>
          <w:tcPr>
            <w:tcW w:type="dxa" w:w="3009"/>
          </w:tcPr>
          <w:p>
            <w:r/>
            <w:r>
              <w:rPr>
                <w:rFonts w:ascii="Times New Roman" w:hAnsi="Times New Roman"/>
                <w:sz w:val="20"/>
              </w:rPr>
              <w:t>Regional technique claimed as the primary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Standardised claim ratios (national average = 100) were computed for each code by indirect age- and sex-standardisation.</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after="0"/>
      </w:pP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w:t>
      </w:r>
      <m:oMath>
        <m:r>
          <m:t xml:space="preserve">marginal </m:t>
        </m:r>
        <m:sSup>
          <m:e>
            <m:r>
              <m:t xml:space="preserve">R</m:t>
            </m:r>
          </m:e>
          <m:sup>
            <m:r>
              <m:t xml:space="preserve">2</m:t>
            </m:r>
          </m:sup>
        </m:sSup>
        <m:r>
          <m:t xml:space="preserve"> </m:t>
        </m:r>
        <m:r>
          <m:t xml:space="preserve">0.358</m:t>
        </m:r>
      </m:oMath>
      <w:r>
        <w:rPr>
          <w:rFonts w:ascii="Times New Roman" w:hAnsi="Times New Roman"/>
          <w:sz w:val="24"/>
        </w:rPr>
        <w:t xml:space="preserve">; </w:t>
      </w:r>
      <m:oMath>
        <m:r>
          <m:t xml:space="preserve">β </m:t>
        </m:r>
        <m:r>
          <m:t xml:space="preserve">= </m:t>
        </m:r>
        <m:r>
          <m:t xml:space="preserve">64.1</m:t>
        </m:r>
        <m:r>
          <m:t xml:space="preserve">, </m:t>
        </m:r>
        <m:r>
          <m:t xml:space="preserve">95% confidence interval </m:t>
        </m:r>
        <m:r>
          <m:t xml:space="preserve">54.8 </m:t>
        </m:r>
        <m:r>
          <m:t xml:space="preserve">to </m:t>
        </m:r>
        <m:r>
          <m:t xml:space="preserve">73.4</m:t>
        </m:r>
      </m:oMath>
      <w:r>
        <w:rPr>
          <w:rFonts w:ascii="Times New Roman" w:hAnsi="Times New Roman"/>
          <w:sz w:val="24"/>
        </w:rPr>
        <w:t xml:space="preserve">) and was statistically significant for every code (all </w:t>
      </w:r>
      <m:oMath>
        <m:r>
          <m:t xml:space="preserve">P </m:t>
        </m:r>
        <m:r>
          <m:t xml:space="preserve">&lt;</m:t>
        </m:r>
        <m:r>
          <m:t xml:space="preserve">0.001</m:t>
        </m:r>
      </m:oMath>
      <w:r>
        <w:rPr>
          <w:rFonts w:ascii="Times New Roman" w:hAnsi="Times New Roman"/>
          <w:sz w:val="24"/>
        </w:rPr>
        <w:t xml:space="preserve">) (Table 3). University hospital areas had higher general anaesthesia ratios than non-university areas in 47 of 47 prefectures, with a mean within-prefecture difference of +63.3 points (paired </w:t>
      </w:r>
      <m:oMath>
        <m:r>
          <m:t xml:space="preserve">t </m:t>
        </m:r>
        <m:r>
          <m:t xml:space="preserve">= </m:t>
        </m:r>
        <m:r>
          <m:t xml:space="preserve">13.28</m:t>
        </m:r>
        <m:r>
          <m:t xml:space="preserve">, </m:t>
        </m:r>
        <m:r>
          <m:t xml:space="preserve">P </m:t>
        </m:r>
        <m:r>
          <m:t xml:space="preserve">&lt;</m:t>
        </m:r>
        <m:r>
          <m:t xml:space="preserve">0.001</m:t>
        </m:r>
      </m:oMath>
      <w:r>
        <w:rPr>
          <w:rFonts w:ascii="Times New Roman" w:hAnsi="Times New Roman"/>
          <w:sz w:val="24"/>
        </w:rPr>
        <w:t>)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w:t>
      </w:r>
      <m:oMath>
        <m:r>
          <m:t xml:space="preserve">Cohen's d </m:t>
        </m:r>
        <m:r>
          <m:t xml:space="preserve">1.55</m:t>
        </m:r>
      </m:oMath>
      <w:r>
        <w:rPr>
          <w:rFonts w:ascii="Times New Roman" w:hAnsi="Times New Roman"/>
          <w:sz w:val="24"/>
        </w:rPr>
        <w:t>;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r>
            <m:oMath>
              <m:r>
                <m:t xml:space="preserve">β</m:t>
              </m:r>
            </m:oMath>
            <w:r>
              <w:rPr>
                <w:rFonts w:ascii="Times New Roman" w:hAnsi="Times New Roman"/>
                <w:b/>
                <w:sz w:val="20"/>
              </w:rPr>
              <w:t xml:space="preserve">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 xml:space="preserve">Marginal </w:t>
            </w:r>
            <m:oMath>
              <m:sSup>
                <m:e>
                  <m:r>
                    <m:t xml:space="preserve">R</m:t>
                  </m:r>
                </m:e>
                <m:sup>
                  <m:r>
                    <m:t xml:space="preserve">2</m:t>
                  </m:r>
                </m:sup>
              </m:sSup>
            </m:oMath>
            <w:r>
              <w:rPr>
                <w:rFonts w:ascii="Times New Roman" w:hAnsi="Times New Roman"/>
                <w:b/>
                <w:sz w:val="20"/>
              </w:rPr>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r>
      <m:oMath>
        <m:r>
          <m:t xml:space="preserve">β</m:t>
        </m:r>
      </m:oMath>
      <w:r>
        <w:rPr>
          <w:rFonts w:ascii="Times New Roman" w:hAnsi="Times New Roman"/>
          <w:i/>
          <w:sz w:val="24"/>
        </w:rPr>
        <w:t xml:space="preserve"> university, fixed effect coefficient for university hospital presence (binary 0/1); CI, confidence interval; ICC, intraclass correlation coefficient (proportion of variance attributable to prefecture level in the null random-intercept model); Marginal </w:t>
      </w:r>
      <m:oMath>
        <m:sSup>
          <m:e>
            <m:r>
              <m:t xml:space="preserve">R</m:t>
            </m:r>
          </m:e>
          <m:sup>
            <m:r>
              <m:t xml:space="preserve">2</m:t>
            </m:r>
          </m:sup>
        </m:sSup>
      </m:oMath>
      <w:r>
        <w:rPr>
          <w:rFonts w:ascii="Times New Roman" w:hAnsi="Times New Roman"/>
          <w:i/>
          <w:sz w:val="24"/>
        </w:rPr>
        <w:t>, proportional reduction in total (prefecture + residual) variance from the null model after adding the university hospital fixed effect.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w:t>
      </w:r>
      <m:oMath>
        <m:r>
          <m:t xml:space="preserve">β </m:t>
        </m:r>
        <m:r>
          <m:t xml:space="preserve">= </m:t>
        </m:r>
        <m:r>
          <m:t xml:space="preserve">+41.8</m:t>
        </m:r>
        <m:r>
          <m:t xml:space="preserve">, </m:t>
        </m:r>
        <m:r>
          <m:t xml:space="preserve">95% CI </m:t>
        </m:r>
        <m:r>
          <m:t xml:space="preserve">32.4 </m:t>
        </m:r>
        <m:r>
          <m:t xml:space="preserve">to </m:t>
        </m:r>
        <m:r>
          <m:t xml:space="preserve">51.2</m:t>
        </m:r>
        <m:r>
          <m:t xml:space="preserve">, </m:t>
        </m:r>
        <m:r>
          <m:t xml:space="preserve">P </m:t>
        </m:r>
        <m:r>
          <m:t xml:space="preserve">&lt;</m:t>
        </m:r>
        <m:r>
          <m:t xml:space="preserve">0.001</m:t>
        </m:r>
      </m:oMath>
      <w:r>
        <w:rPr>
          <w:rFonts w:ascii="Times New Roman" w:hAnsi="Times New Roman"/>
          <w:sz w:val="24"/>
        </w:rPr>
        <w:t>), epidural anaesthesia (</w:t>
      </w:r>
      <m:oMath>
        <m:r>
          <m:t xml:space="preserve">β </m:t>
        </m:r>
        <m:r>
          <m:t xml:space="preserve">= </m:t>
        </m:r>
        <m:r>
          <m:t xml:space="preserve">+39.1</m:t>
        </m:r>
        <m:r>
          <m:t xml:space="preserve">, </m:t>
        </m:r>
        <m:r>
          <m:t xml:space="preserve">95% CI </m:t>
        </m:r>
        <m:r>
          <m:t xml:space="preserve">14.5 </m:t>
        </m:r>
        <m:r>
          <m:t xml:space="preserve">to </m:t>
        </m:r>
        <m:r>
          <m:t xml:space="preserve">63.7</m:t>
        </m:r>
        <m:r>
          <m:t xml:space="preserve">, </m:t>
        </m:r>
        <m:r>
          <m:t xml:space="preserve">P </m:t>
        </m:r>
        <m:r>
          <m:t xml:space="preserve">0.002</m:t>
        </m:r>
      </m:oMath>
      <w:r>
        <w:rPr>
          <w:rFonts w:ascii="Times New Roman" w:hAnsi="Times New Roman"/>
          <w:sz w:val="24"/>
        </w:rPr>
        <w:t>) and continuous epidural infusion (</w:t>
      </w:r>
      <m:oMath>
        <m:r>
          <m:t xml:space="preserve">β </m:t>
        </m:r>
        <m:r>
          <m:t xml:space="preserve">= </m:t>
        </m:r>
        <m:r>
          <m:t xml:space="preserve">+33.9</m:t>
        </m:r>
        <m:r>
          <m:t xml:space="preserve">, </m:t>
        </m:r>
        <m:r>
          <m:t xml:space="preserve">95% CI </m:t>
        </m:r>
        <m:r>
          <m:t xml:space="preserve">20.0 </m:t>
        </m:r>
        <m:r>
          <m:t xml:space="preserve">to </m:t>
        </m:r>
        <m:r>
          <m:t xml:space="preserve">47.7</m:t>
        </m:r>
        <m:r>
          <m:t xml:space="preserve">, </m:t>
        </m:r>
        <m:r>
          <m:t xml:space="preserve">P </m:t>
        </m:r>
        <m:r>
          <m:t xml:space="preserve">&lt;</m:t>
        </m:r>
        <m:r>
          <m:t xml:space="preserve">0.001</m:t>
        </m:r>
      </m:oMath>
      <w:r>
        <w:rPr>
          <w:rFonts w:ascii="Times New Roman" w:hAnsi="Times New Roman"/>
          <w:sz w:val="24"/>
        </w:rPr>
        <w:t>). For spinal anaesthesia the point estimate was positive but no longer statistically significant (</w:t>
      </w:r>
      <m:oMath>
        <m:r>
          <m:t xml:space="preserve">β </m:t>
        </m:r>
        <m:r>
          <m:t xml:space="preserve">= </m:t>
        </m:r>
        <m:r>
          <m:t xml:space="preserve">+9.7</m:t>
        </m:r>
        <m:r>
          <m:t xml:space="preserve">, </m:t>
        </m:r>
        <m:r>
          <m:t xml:space="preserve">95% CI </m:t>
        </m:r>
        <m:r>
          <m:t xml:space="preserve">-4.0 </m:t>
        </m:r>
        <m:r>
          <m:t xml:space="preserve">to </m:t>
        </m:r>
        <m:r>
          <m:t xml:space="preserve">23.3</m:t>
        </m:r>
        <m:r>
          <m:t xml:space="preserve">, </m:t>
        </m:r>
        <m:r>
          <m:t xml:space="preserve">P </m:t>
        </m:r>
        <m:r>
          <m:t xml:space="preserve">0.165</m:t>
        </m:r>
      </m:oMath>
      <w:r>
        <w:rPr>
          <w:rFonts w:ascii="Times New Roman" w:hAnsi="Times New Roman"/>
          <w:sz w:val="24"/>
        </w:rPr>
        <w:t>). Population density was positively associated with general anaesthesia ratios (</w:t>
      </w:r>
      <m:oMath>
        <m:r>
          <m:t xml:space="preserve">β </m:t>
        </m:r>
        <m:r>
          <m:t xml:space="preserve">= </m:t>
        </m:r>
        <m:r>
          <m:t xml:space="preserve">8.3</m:t>
        </m:r>
        <m:r>
          <m:t xml:space="preserve">, </m:t>
        </m:r>
        <m:r>
          <m:t xml:space="preserve">P </m:t>
        </m:r>
        <m:r>
          <m:t xml:space="preserve">&lt;</m:t>
        </m:r>
        <m:r>
          <m:t xml:space="preserve">0.001</m:t>
        </m:r>
      </m:oMath>
      <w:r>
        <w:rPr>
          <w:rFonts w:ascii="Times New Roman" w:hAnsi="Times New Roman"/>
          <w:sz w:val="24"/>
        </w:rPr>
        <w:t>) but not with the other three codes. The anaesthesiologist share was positively associated with general, epidural, continuous epidural and spinal anaesthesia (</w:t>
      </w:r>
      <m:oMath>
        <m:r>
          <m:t xml:space="preserve">P </m:t>
        </m:r>
        <m:r>
          <m:t xml:space="preserve">&lt;</m:t>
        </m:r>
        <m:r>
          <m:t xml:space="preserve">0.001</m:t>
        </m:r>
      </m:oMath>
      <w:r>
        <w:rPr>
          <w:rFonts w:ascii="Times New Roman" w:hAnsi="Times New Roman"/>
          <w:sz w:val="24"/>
        </w:rPr>
        <w:t>, 0.039, &lt;0.001 and 0.005, respectively). The covariate-adjusted mixed models produced optimizer-convergence warnings in Statsmodels;</w:t>
      </w:r>
      <w:r>
        <w:rPr>
          <w:rFonts w:ascii="Times New Roman" w:hAnsi="Times New Roman"/>
          <w:sz w:val="24"/>
          <w:vertAlign w:val="superscript"/>
        </w:rPr>
        <w:t>14</w:t>
      </w:r>
      <w:r>
        <w:rPr>
          <w:rFonts w:ascii="Times New Roman" w:hAnsi="Times New Roman"/>
          <w:sz w:val="24"/>
        </w:rPr>
        <w:t xml:space="preserve"> we therefore refitted them with the lbfgs and cg optimisers, and the point estimates remained stable across optimisers and sensitivity analyses.</w:t>
      </w:r>
    </w:p>
    <w:p>
      <w:pPr>
        <w:spacing w:after="0"/>
      </w:pP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w:t>
      </w:r>
      <m:oMath>
        <m:r>
          <m:t xml:space="preserve">r </m:t>
        </m:r>
        <m:r>
          <m:t xml:space="preserve">= </m:t>
        </m:r>
        <m:r>
          <m:t xml:space="preserve">0.235</m:t>
        </m:r>
        <m:r>
          <m:t xml:space="preserve">, </m:t>
        </m:r>
        <m:r>
          <m:t xml:space="preserve">P </m:t>
        </m:r>
        <m:r>
          <m:t xml:space="preserve">&lt;</m:t>
        </m:r>
        <m:r>
          <m:t xml:space="preserve">0.001</m:t>
        </m:r>
      </m:oMath>
      <w:r>
        <w:rPr>
          <w:rFonts w:ascii="Times New Roman" w:hAnsi="Times New Roman"/>
          <w:sz w:val="24"/>
        </w:rPr>
        <w:t>), as were general and epidural anaesthesia (</w:t>
      </w:r>
      <m:oMath>
        <m:r>
          <m:t xml:space="preserve">r </m:t>
        </m:r>
        <m:r>
          <m:t xml:space="preserve">= </m:t>
        </m:r>
        <m:r>
          <m:t xml:space="preserve">0.319</m:t>
        </m:r>
        <m:r>
          <m:t xml:space="preserve">, </m:t>
        </m:r>
        <m:r>
          <m:t xml:space="preserve">P </m:t>
        </m:r>
        <m:r>
          <m:t xml:space="preserve">&lt;</m:t>
        </m:r>
        <m:r>
          <m:t xml:space="preserve">0.001</m:t>
        </m:r>
      </m:oMath>
      <w:r>
        <w:rPr>
          <w:rFonts w:ascii="Times New Roman" w:hAnsi="Times New Roman"/>
          <w:sz w:val="24"/>
        </w:rPr>
        <w:t>), inconsistent with audit-driven reclassification and consistent with a common supply factor. Third, the maximum prefectural audit-rate difference of 0.28 percentage points could produce a ratio shift of approximately 0.28 points, equivalent to approximately 0.53% of the observed interquartile range for general anaesthesia and 0.27% for epidural anaesthesia. Combining general (L008) and spinal (L004) ratios produced an alternative audit-insensitive measure with a coefficient of variation of 43.4% and a university hospital effect that remained large (</w:t>
      </w:r>
      <m:oMath>
        <m:r>
          <m:t xml:space="preserve">Cohen's d </m:t>
        </m:r>
        <m:r>
          <m:t xml:space="preserve">1.26</m:t>
        </m:r>
      </m:oMath>
      <w:r>
        <w:rPr>
          <w:rFonts w:ascii="Times New Roman" w:hAnsi="Times New Roman"/>
          <w:sz w:val="24"/>
        </w:rPr>
        <w:t>), confirming that the structural effect is not artefactually erased by combining reclassifiable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large and predominantly structural. University hospital presence explained the largest share of variance for general anaesthesia and was positive in every prefecture, while the proportion of variance attributable to prefecture-level factors -- where audit intensity differs -- was small. Three independent sensitivity analyses converged in rejecting differential auditing as the main explanation. Because the outcome is a reimbursed claim ratio, the observed gradient documents service delivery rather than bedside practice directly; however, the within-prefecture structure of the data and the audit-sensitivity analyses make it unlikely that the entire pattern is an artefact of differential scrutiny. The residual variation is therefore best interpreted as a geographically patterned difference in the provision of potentially beneficial anaesthesia services.</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vertAlign w:val="superscript"/>
        </w:rPr>
        <w:t>15</w:t>
      </w:r>
      <w:r>
        <w:rPr>
          <w:rFonts w:ascii="Times New Roman" w:hAnsi="Times New Roman"/>
          <w:sz w:val="24"/>
        </w:rPr>
        <w:t xml:space="preserve">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We could not access code-specific audit rates, so the audit-sensitivity bound relies on the aggregate prefectural audit differential.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Interpretation in the wider literature</w:t>
      </w:r>
    </w:p>
    <w:p>
      <w:r>
        <w:rPr>
          <w:rFonts w:ascii="Times New Roman" w:hAnsi="Times New Roman"/>
          <w:sz w:val="24"/>
        </w:rPr>
        <w:t>Our findings are consistent with the broader medical practice-variation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16</w:t>
      </w:r>
      <w:r>
        <w:rPr>
          <w:rFonts w:ascii="Times New Roman" w:hAnsi="Times New Roman"/>
          <w:sz w:val="24"/>
        </w:rPr>
        <w:t xml:space="preserve"> Comparable patterns have been described for the National Health Service in England,</w:t>
      </w:r>
      <w:r>
        <w:rPr>
          <w:rFonts w:ascii="Times New Roman" w:hAnsi="Times New Roman"/>
          <w:sz w:val="24"/>
          <w:vertAlign w:val="superscript"/>
        </w:rPr>
        <w:t>17</w:t>
      </w:r>
      <w:r>
        <w:rPr>
          <w:rFonts w:ascii="Times New Roman" w:hAnsi="Times New Roman"/>
          <w:sz w:val="24"/>
        </w:rPr>
        <w:t xml:space="preserve"> Germany</w:t>
      </w:r>
      <w:r>
        <w:rPr>
          <w:rFonts w:ascii="Times New Roman" w:hAnsi="Times New Roman"/>
          <w:sz w:val="24"/>
          <w:vertAlign w:val="superscript"/>
        </w:rPr>
        <w:t>18</w:t>
      </w:r>
      <w:r>
        <w:rPr>
          <w:rFonts w:ascii="Times New Roman" w:hAnsi="Times New Roman"/>
          <w:sz w:val="24"/>
        </w:rPr>
        <w:t xml:space="preserve"> and Australia.</w:t>
      </w:r>
      <w:r>
        <w:rPr>
          <w:rFonts w:ascii="Times New Roman" w:hAnsi="Times New Roman"/>
          <w:sz w:val="24"/>
          <w:vertAlign w:val="superscript"/>
        </w:rPr>
        <w:t>19</w:t>
      </w:r>
      <w:r>
        <w:rPr>
          <w:rFonts w:ascii="Times New Roman" w:hAnsi="Times New Roman"/>
          <w:sz w:val="24"/>
        </w:rPr>
        <w:t xml:space="preserve"> Our study extends this evidence by exploiting Japan's uniform fee schedule combined with prefecture-specific auditing to disentangle administrative and structural sources of variation, and by providing, to our knowledge, the first multilevel small-area analysis of anaesthesia technique under universal coverage in East Asia. The university hospital effect we report (</w:t>
      </w:r>
      <m:oMath>
        <m:r>
          <m:t xml:space="preserve">Cohen's d </m:t>
        </m:r>
        <m:r>
          <m:t xml:space="preserve">= </m:t>
        </m:r>
        <m:r>
          <m:t xml:space="preserve">1.88</m:t>
        </m:r>
      </m:oMath>
      <w:r>
        <w:rPr>
          <w:rFonts w:ascii="Times New Roman" w:hAnsi="Times New Roman"/>
          <w:sz w:val="24"/>
        </w:rPr>
        <w:t>) is substantial, plausibly reflecting the influence of the ikyoku (university medical office) system on practice in affiliated hospitals.</w:t>
      </w:r>
      <w:r>
        <w:rPr>
          <w:rFonts w:ascii="Times New Roman" w:hAnsi="Times New Roman"/>
          <w:sz w:val="24"/>
          <w:vertAlign w:val="superscript"/>
        </w:rPr>
        <w:t>20</w:t>
      </w:r>
    </w:p>
    <w:p>
      <w:r>
        <w:rPr>
          <w:rFonts w:ascii="Times New Roman" w:hAnsi="Times New Roman"/>
          <w:sz w:val="24"/>
        </w:rPr>
        <w:t>The findings are relevant beyond Japan.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21</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17,18</w:t>
      </w:r>
      <w:r>
        <w:rPr>
          <w:rFonts w:ascii="Times New Roman" w:hAnsi="Times New Roman"/>
          <w:sz w:val="24"/>
        </w:rPr>
        <w:t xml:space="preserve"> The dominance of tertiary-teaching-hospital concentration as a structural determinant of technique choice echoes analogous patterns for teaching-hospital anaesthesia mix in the US and United Kingdom</w:t>
      </w:r>
      <w:r>
        <w:rPr>
          <w:rFonts w:ascii="Times New Roman" w:hAnsi="Times New Roman"/>
          <w:sz w:val="24"/>
          <w:vertAlign w:val="superscript"/>
        </w:rPr>
        <w:t>16,17</w:t>
      </w:r>
      <w:r>
        <w:rPr>
          <w:rFonts w:ascii="Times New Roman" w:hAnsi="Times New Roman"/>
          <w:sz w:val="24"/>
        </w:rPr>
        <w:t xml:space="preserve"> and for other tertiary-intensive specialties across OECD countries.</w:t>
      </w:r>
      <w:r>
        <w:rPr>
          <w:rFonts w:ascii="Times New Roman" w:hAnsi="Times New Roman"/>
          <w:sz w:val="24"/>
          <w:vertAlign w:val="superscript"/>
        </w:rPr>
        <w:t>22</w:t>
      </w:r>
      <w:r>
        <w:rPr>
          <w:rFonts w:ascii="Times New Roman" w:hAnsi="Times New Roman"/>
          <w:sz w:val="24"/>
        </w:rPr>
        <w:t xml:space="preserve"> In contrast to the highly localised, physician-style-driven variation often reported in the US, the Japanese pattern is more strongly organisational, concentrated around university hospitals, and consistent across all 47 prefectures. This suggests that the structural-access explanation is a robust feature of high-income universal-coverage systems rather than a Japanese idiosyncrasy. Extrapolation to low- and middle-income countries should be more cautious, because fee schedules and audit arrangements are typically heterogeneous and claims data often incomplete.</w:t>
      </w:r>
    </w:p>
    <w:p>
      <w:pPr>
        <w:spacing w:before="160" w:after="80"/>
      </w:pPr>
      <w:r>
        <w:rPr>
          <w:rFonts w:ascii="Times New Roman" w:hAnsi="Times New Roman"/>
          <w:b/>
          <w:sz w:val="24"/>
        </w:rPr>
        <w:t>Implications for public health research, practice and policy</w:t>
      </w:r>
    </w:p>
    <w:p>
      <w:r>
        <w:rPr>
          <w:rFonts w:ascii="Times New Roman" w:hAnsi="Times New Roman"/>
          <w:sz w:val="24"/>
        </w:rPr>
        <w:t>Three public-health implications follow from these findings.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signals a potential equity gap: patients' access to techniques that may improve recovery should not depend on whether they live near a university hospital. Third, regulators should focus on workforce and organisational determinants of anaesthesia service delivery rather than treating low regional ratios primarily as coding or fraud problems. The variance-decomposition framework we used is transferable to other procedures and to other countries with a national fee schedule and regional audit variation, offering a practical epidemiologic approach to separating administrative from structural sources of small-area variation.</w:t>
      </w:r>
    </w:p>
    <w:p>
      <w:pPr>
        <w:spacing w:before="240" w:after="120"/>
      </w:pPr>
      <w:r>
        <w:rPr>
          <w:rFonts w:ascii="Times New Roman" w:hAnsi="Times New Roman"/>
          <w:b/>
          <w:sz w:val="26"/>
        </w:rPr>
        <w:t>CONCLUSIONS</w:t>
      </w:r>
    </w:p>
    <w:p>
      <w:r>
        <w:rPr>
          <w:rFonts w:ascii="Times New Roman" w:hAnsi="Times New Roman"/>
          <w:sz w:val="24"/>
        </w:rPr>
        <w:t>Regional variation in anaesthesia practice under universal coverage in Japan is large and predominantly structural, driven by access to university hospitals rather than by prefectural claims auditing. The pattern is best interpreted as a documented-service-delivery gradient with potentially inequitable access to neuraxial techniques. Public health surveillance of small-area variation in surgical and anaesthesia services should separate administrative from structural sources before interpreting claims data as care variation or as coding quality.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22. </w:t>
      </w:r>
      <w:r>
        <w:rPr>
          <w:rFonts w:ascii="Times New Roman" w:hAnsi="Times New Roman"/>
          <w:sz w:val="24"/>
        </w:rPr>
        <w:t>OECD. Geographic Variations in Health Care: What Do We Know and What Can Be Done to Improve Health System Performance? Paris: OECD Publishing, 2014.</w:t>
      </w:r>
    </w:p>
    <w:p>
      <w:pPr>
        <w:spacing w:before="240" w:after="120"/>
      </w:pPr>
      <w:r>
        <w:rPr>
          <w:rFonts w:ascii="Times New Roman" w:hAnsi="Times New Roman"/>
          <w:b/>
          <w:sz w:val="26"/>
        </w:rPr>
        <w:t>FIGURE LEGENDS</w:t>
      </w:r>
    </w:p>
    <w:p>
      <w:pPr>
        <w:spacing w:before="120" w:after="240"/>
      </w:pPr>
      <w:r>
        <w:rPr>
          <w:rFonts w:ascii="Times New Roman" w:hAnsi="Times New Roman"/>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before="120" w:after="240"/>
      </w:pPr>
      <w:r>
        <w:rPr>
          <w:rFonts w:ascii="Times New Roman" w:hAnsi="Times New Roman"/>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