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workforce problem, and malpractice litigation is often assumed to push physicians away from high-risk fields. Using national administrative data for 12 clinical specialties in Japan (2008-2024), we tested whether litigation risk predicts physician supply and hospital facility counts. Exposure was malpractice claims per 1,000 physicians; we regressed biennial log-changes in physician and facility counts on the lagged litigation rate using specialty and wave fixed effects, clustered standard errors, and equivalence tests. Litigation rate was unrelated to physician growth (coefficient -0.0009; 95% CI -0.0043 to +0.0025; p=0.56) or facility-count growth (p=0.90), and a one-SD higher rate shifted physician growth by less than +/-1% (TOST p=0.023). Although perceived risk is high, structural incentives -- training costs, fee-for-service income, and status-quo bias -- keep physicians in high-risk fields. Reducing litigation exposure is unlikely to correct specialty maldistribution;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instrument: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given in Supplementary Note 1.</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spacing w:before="280"/>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Pr>
        <w:spacing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before="280"/>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before="28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Supplementary Table 7; Figure 4 summarises the same information as marginal percentage changes. Litigation reduction is not a high-impact instrument for workforce allocation in this setting.</w:t>
      </w:r>
    </w:p>
    <w:p>
      <w:pPr>
        <w:spacing w:before="280"/>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4. Counterfactual policy simulation: marginal 10-year change in physician counts by specialty relative to the projected baseline drift. The MDE benchmark is the minimum detectable per-SD effect from the primary analysis.</w:t>
      </w:r>
    </w:p>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tool.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tool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tools. More generally, the results caution against treating highly salient risks as reliable policy tools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