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6"/>
        </w:rPr>
        <w:t>Highlights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Litigation risk is unrelated to physician or hospital decline across 12 specialties.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Count-based links vanish once size confounding and interpolation are removed.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Equivalence testing supports a null effect within policy-relevant margins.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No-fault obstetric compensation may sustain high-risk specialty supply.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Policy should target structural incentives, not litigation-avoidance messaging.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