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Closed malpractice claims per 1,000 physicians by specialty, 2008-2024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2004-2024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2008-2024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2008-2024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2008-2023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2015-2024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2008-2018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