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Table 1. Primary data sources and their resolution.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Series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Resolution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Years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Physicians by specialty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MHLW Statistics of Physicians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Biennial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2004-2024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Denominator &amp; outcome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Closed malpractice claims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Supreme Court, by specialty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Annual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2008-2024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Exposure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Hospitals by specialty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MHLW Survey of Medical Institutions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Annual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2008-2024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Outcome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Clinics by specialty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MHLW Survey (static)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Every 3 years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2008-2023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Descriptive</w:t>
            </w:r>
          </w:p>
        </w:tc>
      </w:tr>
    </w:tbl>
    <w:p/>
    <w:p>
      <w:r>
        <w:rPr>
          <w:b/>
          <w:sz w:val="22"/>
        </w:rPr>
        <w:t>Table 2. Physicians, litigation rate (per 1,000 physicians) and hospitals by specialty, 2008 vs 2024.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  <w:sz w:val="18"/>
              </w:rPr>
              <w:t>Specialty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Phys 2008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Phys 2024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Rate 2008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Rate 2024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Hosp 2008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Hosp 2024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Internal medicine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102388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124010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2.23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1.48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7725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7163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Surgery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27525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26885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6.54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2.83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4994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4300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Orthopaedics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19273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22630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5.60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2.87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5094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4844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Plastic surgery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2520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5074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7.14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8.28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1090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1475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Obstetrics &amp; gynaecology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11961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13908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8.28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2.23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1319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1052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Paediatrics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15236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18009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1.44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0.44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2932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2446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Psychiatry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13534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17259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2.22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1.80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2618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2881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Ophthalmology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12627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13436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2.14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1.04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2501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2310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Otolaryngology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8936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9330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2.13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1.39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2039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1937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Urology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6324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8069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2.85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2.11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2799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2893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Dermatology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8214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10043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1.10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1.39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3040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3066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Anaesthesiology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7067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10628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1.13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0.38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2525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2798</w:t>
            </w:r>
          </w:p>
        </w:tc>
      </w:tr>
    </w:tbl>
    <w:p/>
    <w:p>
      <w:r>
        <w:rPr>
          <w:b/>
          <w:sz w:val="22"/>
        </w:rPr>
        <w:t>Table 3. Panel fixed-effects models and sensitivity analyses.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Coefficient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95% CI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Physician growth ~ lagged rate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-0.0009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-0.0040, +0.0021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0.54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96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Hospital growth ~ lagged rate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+0.0003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-0.0044, +0.0050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96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Counts contrast (physician)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+0.0002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0.49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96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Annual hospital (sensitivity)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+0.0000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192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Interpolated physician (sensitivity)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-0.0010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0.37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192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Reverse (workforce→litigation)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+0.097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0.85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96</w:t>
            </w:r>
          </w:p>
        </w:tc>
      </w:tr>
    </w:tbl>
    <w:p/>
    <w:p>
      <w:r>
        <w:rPr>
          <w:b/>
          <w:sz w:val="22"/>
        </w:rPr>
        <w:t>Table 4. Equivalence (TOST) results (effect per +1 SD litigation rate).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Coef per SD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90% CI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Margin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TOST p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Equivalent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-0.21%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±1%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0.023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-0.21%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±2%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+0.07%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±1%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0.059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+0.07%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±2%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0.002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Yes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