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Temporal associations between medical safety incidents and physician workforce dynamics across 12 specialties in Japan: a vector autoregression and Granger causality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3 400 (excluding abstract, references, tables, and figure legends)</w:t>
      </w:r>
    </w:p>
    <w:p>
      <w:pPr>
        <w:spacing w:after="480" w:line="480" w:lineRule="auto"/>
        <w:jc w:val="center"/>
      </w:pPr>
      <w:r>
        <w:rPr>
          <w:rFonts w:ascii="Times New Roman" w:hAnsi="Times New Roman"/>
          <w:b w:val="0"/>
          <w:i/>
          <w:sz w:val="24"/>
        </w:rPr>
        <w:t>Keywords: medical safety incidents, physician workforce, Granger causality, vector autoregression, health policy, Japan</w:t>
      </w:r>
    </w:p>
    <w:p>
      <w:r>
        <w:br w:type="page"/>
      </w:r>
    </w:p>
    <w:p>
      <w:pPr>
        <w:pStyle w:val="Heading2"/>
      </w:pPr>
      <w:r>
        <w:rPr>
          <w:rFonts w:ascii="Times New Roman" w:hAnsi="Times New Roman"/>
          <w:color w:val="000000"/>
        </w:rPr>
        <w:t>Research in context</w:t>
      </w:r>
    </w:p>
    <w:p>
      <w:pPr>
        <w:pStyle w:val="Heading3"/>
      </w:pPr>
      <w:r>
        <w:rPr>
          <w:rFonts w:ascii="Times New Roman" w:hAnsi="Times New Roman"/>
          <w:color w:val="000000"/>
        </w:rPr>
        <w:t>What is already known</w:t>
      </w:r>
    </w:p>
    <w:p>
      <w:pPr>
        <w:pStyle w:val="ListBullet"/>
        <w:spacing w:line="480" w:lineRule="auto"/>
      </w:pPr>
      <w:r>
        <w:rPr>
          <w:rFonts w:ascii="Times New Roman" w:hAnsi="Times New Roman"/>
          <w:sz w:val="24"/>
        </w:rPr>
        <w:t>Medical malpractice litigation has been associated with defensive medicine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tested whether medical safety incidents Granger-cause changes in physician supply across multiple specialties.</w:t>
      </w:r>
    </w:p>
    <w:p>
      <w:pPr>
        <w:pStyle w:val="Heading3"/>
      </w:pPr>
      <w:r>
        <w:rPr>
          <w:rFonts w:ascii="Times New Roman" w:hAnsi="Times New Roman"/>
          <w:color w:val="000000"/>
        </w:rPr>
        <w:t>What this study adds</w:t>
      </w:r>
    </w:p>
    <w:p>
      <w:pPr>
        <w:pStyle w:val="ListBullet"/>
        <w:spacing w:line="480" w:lineRule="auto"/>
      </w:pPr>
      <w:r>
        <w:rPr>
          <w:rFonts w:ascii="Times New Roman" w:hAnsi="Times New Roman"/>
          <w:sz w:val="24"/>
        </w:rPr>
        <w:t>Using bivariate vector autoregression (VAR) models and Granger causality tests on 20 years of national data, we show that litigation statistics Granger-cause physician counts in 9 of 12 specialties and facility counts in 9 of 12 specialties.</w:t>
      </w:r>
    </w:p>
    <w:p>
      <w:pPr>
        <w:pStyle w:val="ListBullet"/>
        <w:spacing w:line="480" w:lineRule="auto"/>
      </w:pPr>
      <w:r>
        <w:rPr>
          <w:rFonts w:ascii="Times New Roman" w:hAnsi="Times New Roman"/>
          <w:sz w:val="24"/>
        </w:rPr>
        <w:t>Obstetrics and gynaecology exhibited the strongest forward Granger causality (F = 46.66, P &lt; 0.001), with impulse response functions indicating that a litigation shock reduces physician supply for approximately 3-5 years.</w:t>
      </w:r>
    </w:p>
    <w:p>
      <w:pPr>
        <w:pStyle w:val="ListBullet"/>
        <w:spacing w:line="480" w:lineRule="auto"/>
      </w:pPr>
      <w:r>
        <w:rPr>
          <w:rFonts w:ascii="Times New Roman" w:hAnsi="Times New Roman"/>
          <w:sz w:val="24"/>
        </w:rPr>
        <w:t>Bidirectional Granger causality was found for 7 specialty-outcome combinations, suggesting a reinforcing cycle between workforce shortages and safety incidents.</w:t>
      </w:r>
    </w:p>
    <w:p>
      <w:pPr>
        <w:pStyle w:val="Heading3"/>
      </w:pPr>
      <w:r>
        <w:rPr>
          <w:rFonts w:ascii="Times New Roman" w:hAnsi="Times New Roman"/>
          <w:color w:val="000000"/>
        </w:rPr>
        <w:t>Policy implications</w:t>
      </w:r>
    </w:p>
    <w:p>
      <w:pPr>
        <w:pStyle w:val="ListBullet"/>
        <w:spacing w:line="480" w:lineRule="auto"/>
      </w:pPr>
      <w:r>
        <w:rPr>
          <w:rFonts w:ascii="Times New Roman" w:hAnsi="Times New Roman"/>
          <w:sz w:val="24"/>
        </w:rPr>
        <w:t>Workforce planning models should incorporate a 1-4 year lag between safety incident trends and their downstream effects on physician supply.</w:t>
      </w:r>
    </w:p>
    <w:p>
      <w:pPr>
        <w:pStyle w:val="ListBullet"/>
        <w:spacing w:line="480" w:lineRule="auto"/>
      </w:pPr>
      <w:r>
        <w:rPr>
          <w:rFonts w:ascii="Times New Roman" w:hAnsi="Times New Roman"/>
          <w:sz w:val="24"/>
        </w:rPr>
        <w:t>Specialties showing bidirectional causality (obstetrics, paediatrics, general surgery) may benefit most from early intervention to break the shortage-incident cycle.</w:t>
      </w:r>
    </w:p>
    <w:p>
      <w:pPr>
        <w:pStyle w:val="Heading2"/>
      </w:pPr>
      <w:r>
        <w:rPr>
          <w:rFonts w:ascii="Times New Roman" w:hAnsi="Times New Roman"/>
          <w:color w:val="000000"/>
        </w:rPr>
        <w:t>Highlights</w:t>
      </w:r>
    </w:p>
    <w:p>
      <w:pPr>
        <w:pStyle w:val="ListBullet"/>
        <w:spacing w:line="480" w:lineRule="auto"/>
      </w:pPr>
      <w:r>
        <w:rPr>
          <w:rFonts w:ascii="Times New Roman" w:hAnsi="Times New Roman"/>
          <w:sz w:val="24"/>
        </w:rPr>
        <w:t>Medical safety incidents Granger-cause physician workforce changes in 9 of 12 specialties in Japan.</w:t>
      </w:r>
    </w:p>
    <w:p>
      <w:pPr>
        <w:pStyle w:val="ListBullet"/>
        <w:spacing w:line="480" w:lineRule="auto"/>
      </w:pPr>
      <w:r>
        <w:rPr>
          <w:rFonts w:ascii="Times New Roman" w:hAnsi="Times New Roman"/>
          <w:sz w:val="24"/>
        </w:rPr>
        <w:t>Obstetrics and gynaecology shows the strongest temporal association (F = 46.66, P &lt; 0.001).</w:t>
      </w:r>
    </w:p>
    <w:p>
      <w:pPr>
        <w:pStyle w:val="ListBullet"/>
        <w:spacing w:line="480" w:lineRule="auto"/>
      </w:pPr>
      <w:r>
        <w:rPr>
          <w:rFonts w:ascii="Times New Roman" w:hAnsi="Times New Roman"/>
          <w:sz w:val="24"/>
        </w:rPr>
        <w:t>Impulse response functions reveal a 3-5 year effect duration after a litigation shock.</w:t>
      </w:r>
    </w:p>
    <w:p>
      <w:pPr>
        <w:pStyle w:val="ListBullet"/>
        <w:spacing w:line="480" w:lineRule="auto"/>
      </w:pPr>
      <w:r>
        <w:rPr>
          <w:rFonts w:ascii="Times New Roman" w:hAnsi="Times New Roman"/>
          <w:sz w:val="24"/>
        </w:rPr>
        <w:t>Bidirectional causality suggests a reinforcing cycle between workforce shortages and incidents.</w:t>
      </w:r>
    </w:p>
    <w:p>
      <w:pPr>
        <w:pStyle w:val="ListBullet"/>
        <w:spacing w:line="480" w:lineRule="auto"/>
      </w:pPr>
      <w:r>
        <w:rPr>
          <w:rFonts w:ascii="Times New Roman" w:hAnsi="Times New Roman"/>
          <w:sz w:val="24"/>
        </w:rPr>
        <w:t>VAR-based forecasts project continued decline in general surgery physicians and facilities through 2033.</w:t>
      </w:r>
    </w:p>
    <w:p>
      <w:r>
        <w:br w:type="page"/>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Background: </w:t>
      </w:r>
      <w:r>
        <w:rPr>
          <w:rFonts w:ascii="Times New Roman" w:hAnsi="Times New Roman"/>
          <w:b w:val="0"/>
          <w:i w:val="0"/>
          <w:sz w:val="24"/>
        </w:rPr>
        <w:t>Medical safety incidents may deter physicians from high-risk specialties, yet quantitative evidence of their temporal impact on workforce supply remains limited.</w:t>
      </w:r>
    </w:p>
    <w:p>
      <w:pPr>
        <w:spacing w:line="480" w:lineRule="auto" w:after="120"/>
      </w:pPr>
      <w:r>
        <w:rPr>
          <w:rFonts w:ascii="Times New Roman" w:hAnsi="Times New Roman"/>
          <w:b/>
          <w:sz w:val="24"/>
        </w:rPr>
        <w:t xml:space="preserve">Objective: </w:t>
      </w:r>
      <w:r>
        <w:rPr>
          <w:rFonts w:ascii="Times New Roman" w:hAnsi="Times New Roman"/>
          <w:b w:val="0"/>
          <w:i w:val="0"/>
          <w:sz w:val="24"/>
        </w:rPr>
        <w:t>To test whether medical safety incident counts Granger-cause changes in specialty-specific physician and healthcare facility numbers in Japan.</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Granger causality F-tests, impulse response functions (IRF),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fitted, 20 showed significant forward Granger causality (incidents → workforce; P &lt; 0.05). Obstetrics and gynaecology exhibited the strongest association with physician counts (F = 46.66, P &lt; 0.001, lag 1 year). Significant forward causality was found for 9 of 12 specialties using litigation data. Bidirectional causality was observed in 7 specialty-outcome pairs, including obstetrics, paediatrics, and general surgery. IRFs indicated that a one-unit litigation shock reduced physician counts for 3-5 years. VAR forecasts project continued decline in general surgery physicians (-230/year) and facilities (-310/year)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Medical safety incidents Granger-cause reductions in physician supply across most specialties, with effects lasting 3-5 years. Bidirectional causality in several specialties suggests a reinforcing cycle. These findings support incorporating incident trends into workforce planning models.</w:t>
      </w:r>
    </w:p>
    <w:p>
      <w:pPr>
        <w:spacing w:after="360" w:line="480" w:lineRule="auto"/>
      </w:pPr>
      <w:r>
        <w:rPr>
          <w:rFonts w:ascii="Times New Roman" w:hAnsi="Times New Roman"/>
          <w:b w:val="0"/>
          <w:i/>
          <w:sz w:val="24"/>
        </w:rPr>
        <w:t>Keywords: medical safety incidents, physician workforce, Granger causality, vector autoregression, health policy, Japan</w:t>
      </w:r>
    </w:p>
    <w:p>
      <w:r>
        <w:br w:type="page"/>
      </w:r>
    </w:p>
    <w:p>
      <w:pPr>
        <w:pStyle w:val="Heading1"/>
      </w:pPr>
      <w:r>
        <w:rPr>
          <w:rFonts w:ascii="Times New Roman" w:hAnsi="Times New Roman"/>
          <w:color w:val="000000"/>
        </w:rPr>
        <w:t>Background</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w:t>
      </w:r>
      <w:r>
        <w:rPr>
          <w:rFonts w:ascii="Times New Roman" w:hAnsi="Times New Roman"/>
          <w:b w:val="0"/>
          <w:i w:val="0"/>
          <w:sz w:val="20"/>
          <w:vertAlign w:val="superscript"/>
        </w:rPr>
        <w:t>[1-3]</w:t>
      </w:r>
      <w:r>
        <w:rPr>
          <w:rFonts w:ascii="Times New Roman" w:hAnsi="Times New Roman"/>
          <w:b w:val="0"/>
          <w:i w:val="0"/>
          <w:sz w:val="24"/>
        </w:rPr>
        <w:t xml:space="preserve"> yet quantitative evidence remains limited, geographically concentrated in the United States, and largely focused on tort reform rather than incident occurrence itself.</w:t>
      </w:r>
      <w:r>
        <w:rPr>
          <w:rFonts w:ascii="Times New Roman" w:hAnsi="Times New Roman"/>
          <w:b w:val="0"/>
          <w:i w:val="0"/>
          <w:sz w:val="20"/>
          <w:vertAlign w:val="superscript"/>
        </w:rPr>
        <w:t>[4-6]</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w:t>
      </w:r>
      <w:r>
        <w:rPr>
          <w:rFonts w:ascii="Times New Roman" w:hAnsi="Times New Roman"/>
          <w:b w:val="0"/>
          <w:i w:val="0"/>
          <w:sz w:val="20"/>
          <w:vertAlign w:val="superscript"/>
        </w:rPr>
        <w:t>[7]</w:t>
      </w:r>
      <w:r>
        <w:rPr>
          <w:rFonts w:ascii="Times New Roman" w:hAnsi="Times New Roman"/>
          <w:b w:val="0"/>
          <w:i w:val="0"/>
          <w:sz w:val="24"/>
        </w:rPr>
        <w:t xml:space="preserve"> Although the physician was acquitted in 2008, the case is widely regarded as a catalyst for the subsequent decline in obstetricians willing to provide delivery services.</w:t>
      </w:r>
      <w:r>
        <w:rPr>
          <w:rFonts w:ascii="Times New Roman" w:hAnsi="Times New Roman"/>
          <w:b w:val="0"/>
          <w:i w:val="0"/>
          <w:sz w:val="20"/>
          <w:vertAlign w:val="superscript"/>
        </w:rPr>
        <w:t>[8,9]</w:t>
      </w:r>
      <w:r>
        <w:rPr>
          <w:rFonts w:ascii="Times New Roman" w:hAnsi="Times New Roman"/>
          <w:b w:val="0"/>
          <w:i w:val="0"/>
          <w:sz w:val="24"/>
        </w:rPr>
        <w:t xml:space="preserve"> Morita estimated a 13% decrease in obstetricians in the affected prefecture using difference-in-differences and synthetic control methods.</w:t>
      </w:r>
      <w:r>
        <w:rPr>
          <w:rFonts w:ascii="Times New Roman" w:hAnsi="Times New Roman"/>
          <w:b w:val="0"/>
          <w:i w:val="0"/>
          <w:sz w:val="20"/>
          <w:vertAlign w:val="superscript"/>
        </w:rPr>
        <w:t>[10]</w:t>
      </w:r>
      <w:r>
        <w:rPr>
          <w:rFonts w:ascii="Times New Roman" w:hAnsi="Times New Roman"/>
          <w:b w:val="0"/>
          <w:i w:val="0"/>
          <w:sz w:val="24"/>
        </w:rPr>
        <w:t xml:space="preserve">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was established in 2015 under a revision to the Medical Care Act, creating a mandatory reporting system for unexpected deaths potentially related to medical care.</w:t>
      </w:r>
      <w:r>
        <w:rPr>
          <w:rFonts w:ascii="Times New Roman" w:hAnsi="Times New Roman"/>
          <w:b w:val="0"/>
          <w:i w:val="0"/>
          <w:sz w:val="20"/>
          <w:vertAlign w:val="superscript"/>
        </w:rPr>
        <w:t>[11]</w:t>
      </w:r>
      <w:r>
        <w:rPr>
          <w:rFonts w:ascii="Times New Roman" w:hAnsi="Times New Roman"/>
          <w:b w:val="0"/>
          <w:i w:val="0"/>
          <w:sz w:val="24"/>
        </w:rPr>
        <w:t xml:space="preserve"> Second, the Supreme Court of Japan publishes annual statistics on medical malpractice litigation by specialty.</w:t>
      </w:r>
      <w:r>
        <w:rPr>
          <w:rFonts w:ascii="Times New Roman" w:hAnsi="Times New Roman"/>
          <w:b w:val="0"/>
          <w:i w:val="0"/>
          <w:sz w:val="20"/>
          <w:vertAlign w:val="superscript"/>
        </w:rPr>
        <w:t>[12,13]</w:t>
      </w:r>
      <w:r>
        <w:rPr>
          <w:rFonts w:ascii="Times New Roman" w:hAnsi="Times New Roman"/>
          <w:b w:val="0"/>
          <w:i w:val="0"/>
          <w:sz w:val="24"/>
        </w:rPr>
        <w:t xml:space="preserve"> Additionally, Japan conducts biennial national surveys of all practising physicians and maintains annual records of healthcare facility registrations—providing unusually detailed, population-level workforce data.</w:t>
      </w:r>
    </w:p>
    <w:p>
      <w:pPr>
        <w:spacing w:after="120" w:line="480" w:lineRule="auto"/>
      </w:pPr>
      <w:r>
        <w:rPr>
          <w:rFonts w:ascii="Times New Roman" w:hAnsi="Times New Roman"/>
          <w:b w:val="0"/>
          <w:i w:val="0"/>
          <w:sz w:val="24"/>
        </w:rPr>
        <w:t>Previous analyses of these data, including our own, have relied on interrupted time series (ITS) methodology with cross-correlation.</w:t>
      </w:r>
      <w:r>
        <w:rPr>
          <w:rFonts w:ascii="Times New Roman" w:hAnsi="Times New Roman"/>
          <w:b w:val="0"/>
          <w:i w:val="0"/>
          <w:sz w:val="20"/>
          <w:vertAlign w:val="superscript"/>
        </w:rPr>
        <w:t>[14]</w:t>
      </w:r>
      <w:r>
        <w:rPr>
          <w:rFonts w:ascii="Times New Roman" w:hAnsi="Times New Roman"/>
          <w:b w:val="0"/>
          <w:i w:val="0"/>
          <w:sz w:val="24"/>
        </w:rPr>
        <w:t xml:space="preserve"> However, ITS assumes a discrete, exogenous intervention point, which is poorly suited to continuously varying exposure data such as incident counts. Cross-correlation, while descriptive, does not formally test predictive causality and is susceptible to spurious associations from shared trends.</w:t>
      </w:r>
    </w:p>
    <w:p>
      <w:pPr>
        <w:spacing w:after="120" w:line="480" w:lineRule="auto"/>
      </w:pPr>
      <w:r>
        <w:rPr>
          <w:rFonts w:ascii="Times New Roman" w:hAnsi="Times New Roman"/>
          <w:b w:val="0"/>
          <w:i w:val="0"/>
          <w:sz w:val="24"/>
        </w:rPr>
        <w:t>We therefore re-analysed the data using vector autoregression (VAR) models and Granger causality tests—methods widely used in econometrics and increasingly applied in health policy research.</w:t>
      </w:r>
      <w:r>
        <w:rPr>
          <w:rFonts w:ascii="Times New Roman" w:hAnsi="Times New Roman"/>
          <w:b w:val="0"/>
          <w:i w:val="0"/>
          <w:sz w:val="20"/>
          <w:vertAlign w:val="superscript"/>
        </w:rPr>
        <w:t>[15-17]</w:t>
      </w:r>
      <w:r>
        <w:rPr>
          <w:rFonts w:ascii="Times New Roman" w:hAnsi="Times New Roman"/>
          <w:b w:val="0"/>
          <w:i w:val="0"/>
          <w:sz w:val="24"/>
        </w:rPr>
        <w:t xml:space="preserve"> VAR models simultaneously capture the dynamic interdependence between incident counts and workforce outcomes, while Granger causality provides a formal statistical test of whether past values of one series improve prediction of another. We further employed impulse response functions (IRFs) to estimate the magnitude and duration of workforce effects following a safety incident shock, and VAR-based forecasting to project workforce trends.</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 secondary analysis of routinely collected national administrative data from Japan using bivariate VAR models and Granger causality tests. This study is reported in accordance with the RECORD (REporting of studies Conducted using Observational Routinely-collected health Data) statement,</w:t>
      </w:r>
      <w:r>
        <w:rPr>
          <w:rFonts w:ascii="Times New Roman" w:hAnsi="Times New Roman"/>
          <w:b w:val="0"/>
          <w:i w:val="0"/>
          <w:sz w:val="20"/>
          <w:vertAlign w:val="superscript"/>
        </w:rPr>
        <w:t>[18,19]</w:t>
      </w:r>
      <w:r>
        <w:rPr>
          <w:rFonts w:ascii="Times New Roman" w:hAnsi="Times New Roman"/>
          <w:b w:val="0"/>
          <w:i w:val="0"/>
          <w:sz w:val="24"/>
        </w:rPr>
        <w:t xml:space="preserve"> and the STROBE (Strengthening the Reporting of Observational Studies in Epidemiology) guidelines for ecological studies.</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[11]</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[12]</w:t>
      </w:r>
    </w:p>
    <w:p>
      <w:pPr>
        <w:spacing w:after="120" w:line="480" w:lineRule="auto"/>
      </w:pPr>
      <w:r>
        <w:rPr>
          <w:rFonts w:ascii="Times New Roman" w:hAnsi="Times New Roman"/>
          <w:b w:val="0"/>
          <w:i w:val="0"/>
          <w:sz w:val="24"/>
        </w:rPr>
        <w:t>Specialty-specific physician counts were obtained from the National Survey of Physicians, Dentists, and Pharmacists, conducted biennially by the Ministry of Health, Labour and Welfare, covering 2002-2024.</w:t>
      </w:r>
      <w:r>
        <w:rPr>
          <w:rFonts w:ascii="Times New Roman" w:hAnsi="Times New Roman"/>
          <w:b w:val="0"/>
          <w:i w:val="0"/>
          <w:sz w:val="20"/>
          <w:vertAlign w:val="superscript"/>
        </w:rPr>
        <w:t>[20]</w:t>
      </w:r>
      <w:r>
        <w:rPr>
          <w:rFonts w:ascii="Times New Roman" w:hAnsi="Times New Roman"/>
          <w:b w:val="0"/>
          <w:i w:val="0"/>
          <w:sz w:val="24"/>
        </w:rPr>
        <w:t xml:space="preserve"> As the survey is biennial, annual values were obtained by linear interpolation between survey years. Specialty-specific facility counts were obtained from the Survey of Medical Institutions, covering 2005-2024.</w:t>
      </w:r>
      <w:r>
        <w:rPr>
          <w:rFonts w:ascii="Times New Roman" w:hAnsi="Times New Roman"/>
          <w:b w:val="0"/>
          <w:i w:val="0"/>
          <w:sz w:val="20"/>
          <w:vertAlign w:val="superscript"/>
        </w:rPr>
        <w:t>[21]</w:t>
      </w:r>
      <w:r>
        <w:rPr>
          <w:rFonts w:ascii="Times New Roman" w:hAnsi="Times New Roman"/>
          <w:b w:val="0"/>
          <w:i w:val="0"/>
          <w:sz w:val="24"/>
        </w:rPr>
        <w:t xml:space="preserve"> Specialist trainee enrolment data were obtained from the Japan Board of Medical Specialties for 2018-2025 (8 years).</w:t>
      </w:r>
      <w:r>
        <w:rPr>
          <w:rFonts w:ascii="Times New Roman" w:hAnsi="Times New Roman"/>
          <w:b w:val="0"/>
          <w:i w:val="0"/>
          <w:sz w:val="20"/>
          <w:vertAlign w:val="superscript"/>
        </w:rPr>
        <w:t>[22]</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of each series was assessed using augmented Dickey-Fuller (ADF) tests. When both series in a pair were non-stationary, first differences were used; otherwise, models were fitted in levels with a stationarity caveat noted.</w:t>
      </w:r>
    </w:p>
    <w:p>
      <w:pPr>
        <w:spacing w:after="120" w:line="480" w:lineRule="auto"/>
      </w:pPr>
      <w:r>
        <w:rPr>
          <w:rFonts w:ascii="Times New Roman" w:hAnsi="Times New Roman"/>
          <w:b w:val="0"/>
          <w:i w:val="0"/>
          <w:sz w:val="24"/>
        </w:rPr>
        <w:t>For each specialty-definition-outcome combination, a bivariate VAR model was fitted with the two endogenous variables being incident counts and the workforce outcome (physician count or facility count). The optimal lag order was selected by minimising the Akaike information criterion (AIC), with a maximum lag of min(4, n/3 - 1) to preserve degrees of freedom in these relatively short series.</w:t>
      </w:r>
    </w:p>
    <w:p>
      <w:pPr>
        <w:spacing w:after="120" w:line="480" w:lineRule="auto"/>
      </w:pPr>
      <w:r>
        <w:rPr>
          <w:rFonts w:ascii="Times New Roman" w:hAnsi="Times New Roman"/>
          <w:b w:val="0"/>
          <w:i w:val="0"/>
          <w:sz w:val="24"/>
        </w:rPr>
        <w:t>Granger causality was tested in both directions within the VAR framework using F-tests on the lagged coefficients.</w:t>
      </w:r>
      <w:r>
        <w:rPr>
          <w:rFonts w:ascii="Times New Roman" w:hAnsi="Times New Roman"/>
          <w:b w:val="0"/>
          <w:i w:val="0"/>
          <w:sz w:val="20"/>
          <w:vertAlign w:val="superscript"/>
        </w:rPr>
        <w:t>[23]</w:t>
      </w:r>
      <w:r>
        <w:rPr>
          <w:rFonts w:ascii="Times New Roman" w:hAnsi="Times New Roman"/>
          <w:b w:val="0"/>
          <w:i w:val="0"/>
          <w:sz w:val="24"/>
        </w:rPr>
        <w:t xml:space="preserve"> The null hypothesis for the forward test is that lagged incident counts do not improve prediction of the workforce outcome; for the reverse test, that lagged workforce counts do not improve prediction of incidents. Statistical significance was set at P &lt; 0.05. We report the lag yielding the most significant F-statistic for each direction.</w:t>
      </w:r>
    </w:p>
    <w:p>
      <w:pPr>
        <w:spacing w:after="120" w:line="480" w:lineRule="auto"/>
      </w:pPr>
      <w:r>
        <w:rPr>
          <w:rFonts w:ascii="Times New Roman" w:hAnsi="Times New Roman"/>
          <w:b w:val="0"/>
          <w:i w:val="0"/>
          <w:sz w:val="24"/>
        </w:rPr>
        <w:t>Impulse response functions (IRFs) were computed from the fitted VAR models to estimate the dynamic response of workforce outcomes to a one-unit shock in incident counts, over a 10-year horizon.</w:t>
      </w:r>
      <w:r>
        <w:rPr>
          <w:rFonts w:ascii="Times New Roman" w:hAnsi="Times New Roman"/>
          <w:b w:val="0"/>
          <w:i w:val="0"/>
          <w:sz w:val="20"/>
          <w:vertAlign w:val="superscript"/>
        </w:rPr>
        <w:t>[24]</w:t>
      </w:r>
      <w:r>
        <w:rPr>
          <w:rFonts w:ascii="Times New Roman" w:hAnsi="Times New Roman"/>
          <w:b w:val="0"/>
          <w:i w:val="0"/>
          <w:sz w:val="24"/>
        </w:rPr>
        <w:t xml:space="preserve"> IRFs provide both the magnitude and duration of the workforce effect following a safety incident shock.</w:t>
      </w:r>
    </w:p>
    <w:p>
      <w:pPr>
        <w:spacing w:after="120" w:line="480" w:lineRule="auto"/>
      </w:pPr>
      <w:r>
        <w:rPr>
          <w:rFonts w:ascii="Times New Roman" w:hAnsi="Times New Roman"/>
          <w:b w:val="0"/>
          <w:i w:val="0"/>
          <w:sz w:val="24"/>
        </w:rPr>
        <w:t>For specialties with litigation data (the longer series), VAR-based forecasts of workforce outcomes were generated for 2024-2033, with 95% forecast intervals.</w:t>
      </w:r>
    </w:p>
    <w:p>
      <w:pPr>
        <w:spacing w:after="120" w:line="480" w:lineRule="auto"/>
      </w:pPr>
      <w:r>
        <w:rPr>
          <w:rFonts w:ascii="Times New Roman" w:hAnsi="Times New Roman"/>
          <w:b w:val="0"/>
          <w:i w:val="0"/>
          <w:sz w:val="24"/>
        </w:rPr>
        <w:t>For specialist trainees, the short data series (8 years) precluded formal VAR modelling; detrended Pearson correlations between JMSR incidents and trainee enrolment were computed instead.</w:t>
      </w:r>
    </w:p>
    <w:p>
      <w:pPr>
        <w:spacing w:after="120" w:line="480" w:lineRule="auto"/>
      </w:pPr>
      <w:r>
        <w:rPr>
          <w:rFonts w:ascii="Times New Roman" w:hAnsi="Times New Roman"/>
          <w:b w:val="0"/>
          <w:i w:val="0"/>
          <w:sz w:val="24"/>
        </w:rPr>
        <w:t>All analyses were performed in Python 3.10 using statsmodels 0.14 (VAR and Granger causality), SciPy 1.14, and pandas 2.2.</w:t>
      </w:r>
      <w:r>
        <w:rPr>
          <w:rFonts w:ascii="Times New Roman" w:hAnsi="Times New Roman"/>
          <w:b w:val="0"/>
          <w:i w:val="0"/>
          <w:sz w:val="20"/>
          <w:vertAlign w:val="superscript"/>
        </w:rPr>
        <w:t>[25-27]</w:t>
      </w:r>
      <w:r>
        <w:rPr>
          <w:rFonts w:ascii="Times New Roman" w:hAnsi="Times New Roman"/>
          <w:b w:val="0"/>
          <w:i w:val="0"/>
          <w:sz w:val="24"/>
        </w:rPr>
        <w:t xml:space="preserve"> Analysis code and data are available at https://github.com/bougtoir/medical-accident-its-analysis.</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involved in this research. This study used exclusively publicly available, aggregated administrative data.</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3 860 reports across all specialties, with general surgery (n = 520), internal medicine (n = 479), and orthopaedic surgery (n = 310) recording the highest volumes. Medical malpractice litigation cases across the 12 specialties declined from 1 139 in 2004 to 746 in 2023 overall, although trends varied by specialty (Figure 1).</w:t>
      </w:r>
    </w:p>
    <w:p>
      <w:pPr>
        <w:pStyle w:val="Heading2"/>
      </w:pPr>
      <w:r>
        <w:rPr>
          <w:rFonts w:ascii="Times New Roman" w:hAnsi="Times New Roman"/>
          <w:color w:val="000000"/>
        </w:rPr>
        <w:t>VAR model specification</w:t>
      </w:r>
    </w:p>
    <w:p>
      <w:pPr>
        <w:spacing w:after="120" w:line="480" w:lineRule="auto"/>
      </w:pPr>
      <w:r>
        <w:rPr>
          <w:rFonts w:ascii="Times New Roman" w:hAnsi="Times New Roman"/>
          <w:b w:val="0"/>
          <w:i w:val="0"/>
          <w:sz w:val="24"/>
        </w:rPr>
        <w:t>A total of 47 bivariate VAR models were fitted across the 12 specialties, two incident definitions, and two workforce outcomes. The litigation-based models (20 annual observations) provided the primary analysis; JMSR-based models (10-11 overlapping observations) served as sensitivity analyses. AIC-selected lag orders ranged from 1 to 4 (median 2).</w:t>
      </w:r>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Table 1 presents the Granger causality test results for all specialty-outcome combinations using litigation data. Of the 24 litigation-based tests (12 specialties * 2 outcomes), 18 showed significant forward Granger causality (incidents → workforce, P &lt; 0.05). The strongest forward associations were observed for obstetrics and gynaecology (physicians: F = 46.66, P &lt; 0.001; facilities: F = 16.34,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for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VAR 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litigation-based models, indicating bidirectional temporal dynamics. Seven specialty-outcome combinations showed significant causality in both directions: obstetrics and gynaecology (physicians and facilities), paediatrics (physicians and facilities), general surgery (JMSR-physicians), ophthalmology (facilities), and otolaryngology (facilities). This bidirectional pattern is consistent with a reinforcing cycle in which safety incidents deter physician recruitment, leading to workforce shortages that in turn increase incident risk.</w:t>
      </w:r>
    </w:p>
    <w:p>
      <w:pPr>
        <w:spacing w:after="120" w:line="480" w:lineRule="auto"/>
      </w:pPr>
      <w:r>
        <w:rPr>
          <w:rFonts w:ascii="Times New Roman" w:hAnsi="Times New Roman"/>
          <w:b w:val="0"/>
          <w:i w:val="0"/>
          <w:sz w:val="24"/>
        </w:rPr>
        <w:t>In the JMSR-based sensitivity analysis (Table 2), only 2 of 24 tests showed significant forward Granger causality, likely reflecting the shorter series (10-11 observations) and consequent reduced statistical power. However, general surgery (F = 23.04, P = 0.003) and psychiatry (F = 9.48, P = 0.022) reached significance even with this limited sample.</w:t>
      </w:r>
    </w:p>
    <w:p>
      <w:pPr>
        <w:spacing w:after="120" w:before="240" w:line="480" w:lineRule="auto"/>
      </w:pPr>
      <w:r>
        <w:rPr>
          <w:rFonts w:ascii="Times New Roman" w:hAnsi="Times New Roman"/>
          <w:b/>
          <w:sz w:val="20"/>
        </w:rPr>
        <w:t>Table 2. Granger causality test results for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VAR 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shows the IRFs for the response of physician counts to a one-unit shock in litigation cases for six key specialties. For obstetrics and gynaecology, the IRF demonstrates a sustained negative response peaking at approximately 2-3 years and persisting for 5 years. General surgery shows a similar pattern with the response attenuating by year 4. The corresponding IRFs for facility counts are shown in Supplementary Figure S1.</w:t>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3 presents VAR-based forecasts for physician and facility counts in three specialties of particular policy interest. General surgery is projected to continue declining, with physician counts falling by approximately 230 per year and facilities by 310 per year through 2033. Obstetrics and gynaecology physician counts are projected to increase modestly, while facilities continue to decline. Internal medicine physician counts show continued growth but facility numbers are projected to decrease.</w:t>
      </w:r>
    </w:p>
    <w:p>
      <w:pPr>
        <w:spacing w:after="120" w:before="240" w:line="480" w:lineRule="auto"/>
      </w:pPr>
      <w:r>
        <w:rPr>
          <w:rFonts w:ascii="Times New Roman" w:hAnsi="Times New Roman"/>
          <w:b/>
          <w:sz w:val="20"/>
        </w:rPr>
        <w:t>Table 3. VAR-based workforce forecasts for selected specialties (point estimates from litigation-outcome bivariate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Detrended correlations between JMSR incident reports and specialist trainee enrolment (2018-2025, n = 8) showed notable negative associations for psychiatry (r = -0.77, P = 0.025), anaesthesiology (r = -0.77, P = 0.026), and obstetrics and gynaecology (r = -0.70, P = 0.051). However, these results should be interpreted cautiously given the short series and limited statistical power.</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multi-specialty application of VAR models and Granger causality tests to examine the temporal relationship between medical safety incidents and physician workforce dynamics. Using two complementary incident definitions and national administrative data from Japan, we found that litigation statistics Granger-cause physician counts in 9 of 12 specialties and facility counts in 9 of 12 specialties. Obstetrics and gynaecology showed the strongest forward Granger causality (F = 46.66, P &lt; 0.001), corroborating previous findings from the Fukushima prosecution case</w:t>
      </w:r>
      <w:r>
        <w:rPr>
          <w:rFonts w:ascii="Times New Roman" w:hAnsi="Times New Roman"/>
          <w:b w:val="0"/>
          <w:i w:val="0"/>
          <w:sz w:val="20"/>
          <w:vertAlign w:val="superscript"/>
        </w:rPr>
        <w:t>[10]</w:t>
      </w:r>
      <w:r>
        <w:rPr>
          <w:rFonts w:ascii="Times New Roman" w:hAnsi="Times New Roman"/>
          <w:b w:val="0"/>
          <w:i w:val="0"/>
          <w:sz w:val="24"/>
        </w:rPr>
        <w:t xml:space="preserve"> but extending these to a national, multi-definition, multi-specialty framework.</w:t>
      </w:r>
    </w:p>
    <w:p>
      <w:pPr>
        <w:pStyle w:val="Heading2"/>
      </w:pPr>
      <w:r>
        <w:rPr>
          <w:rFonts w:ascii="Times New Roman" w:hAnsi="Times New Roman"/>
          <w:color w:val="000000"/>
        </w:rPr>
        <w:t>Methodological advance over ITS</w:t>
      </w:r>
    </w:p>
    <w:p>
      <w:pPr>
        <w:spacing w:after="120" w:line="480" w:lineRule="auto"/>
      </w:pPr>
      <w:r>
        <w:rPr>
          <w:rFonts w:ascii="Times New Roman" w:hAnsi="Times New Roman"/>
          <w:b w:val="0"/>
          <w:i w:val="0"/>
          <w:sz w:val="24"/>
        </w:rPr>
        <w:t>The VAR/Granger approach addresses the four major methodological concerns identified in prior reviews of this research question.</w:t>
      </w:r>
      <w:r>
        <w:rPr>
          <w:rFonts w:ascii="Times New Roman" w:hAnsi="Times New Roman"/>
          <w:b w:val="0"/>
          <w:i w:val="0"/>
          <w:sz w:val="20"/>
          <w:vertAlign w:val="superscript"/>
        </w:rPr>
        <w:t>[14]</w:t>
      </w:r>
      <w:r>
        <w:rPr>
          <w:rFonts w:ascii="Times New Roman" w:hAnsi="Times New Roman"/>
          <w:b w:val="0"/>
          <w:i w:val="0"/>
          <w:sz w:val="24"/>
        </w:rPr>
        <w:t xml:space="preserve"> First, VAR does not require an exogenous intervention point—it models the dynamic interdependence of two time series directly. Second, Granger causality provides a formal statistical test of temporal precedence ("does X help predict Y beyond Y’s own past?"), avoiding the risk of conflating contemporaneous correlation with predictive causality. Third, the stationarity testing and differencing protocol directly addresses spurious correlation risk. Fourth, VAR-based forecasting is grounded in the estimated multivariate dynamics rather than univariate linear extrapolation.</w:t>
      </w:r>
    </w:p>
    <w:p>
      <w:pPr>
        <w:pStyle w:val="Heading2"/>
      </w:pPr>
      <w:r>
        <w:rPr>
          <w:rFonts w:ascii="Times New Roman" w:hAnsi="Times New Roman"/>
          <w:color w:val="000000"/>
        </w:rPr>
        <w:t>Bidirectional causality and policy implications</w:t>
      </w:r>
    </w:p>
    <w:p>
      <w:pPr>
        <w:spacing w:after="120" w:line="480" w:lineRule="auto"/>
      </w:pPr>
      <w:r>
        <w:rPr>
          <w:rFonts w:ascii="Times New Roman" w:hAnsi="Times New Roman"/>
          <w:b w:val="0"/>
          <w:i w:val="0"/>
          <w:sz w:val="24"/>
        </w:rPr>
        <w:t>The observation of bidirectional Granger causality in 7 specialty-outcome combinations has important policy implications. Forward causality (incidents → workforce decline) is consistent with the hypothesised ‘incident avoidance’ pathway: high-profile safety events deter entry and accelerate exit from a specialty. Reverse causality (workforce decline → incidents) is consistent with an ‘overwork’ pathway: fewer physicians per caseload leads to fatigue, reduced supervision, and increased incident risk.</w:t>
      </w:r>
    </w:p>
    <w:p>
      <w:pPr>
        <w:spacing w:after="120" w:line="480" w:lineRule="auto"/>
      </w:pPr>
      <w:r>
        <w:rPr>
          <w:rFonts w:ascii="Times New Roman" w:hAnsi="Times New Roman"/>
          <w:b w:val="0"/>
          <w:i w:val="0"/>
          <w:sz w:val="24"/>
        </w:rPr>
        <w:t>The coexistence of both pathways in specialties such as obstetrics and gynaecology, paediatrics, and general surgery suggests a reinforcing vicious cycle. Policy interventions to break this cycle could target either pathway: improving post-incident support and public communication (to reduce avoidance), or augmenting workforce capacity and reducing per-physician workload (to reduce incident risk). The IRF results, showing that workforce effects persist for 3-5 years after a litigation shock, define a window during which such interventions could be most effective.</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Our findings are consistent with and extend the existing literature. The magnitude of the obstetrics and gynaecology association aligns with Morita’s finding of a 13% decrease in obstetricians following the 2006 prosecution,</w:t>
      </w:r>
      <w:r>
        <w:rPr>
          <w:rFonts w:ascii="Times New Roman" w:hAnsi="Times New Roman"/>
          <w:b w:val="0"/>
          <w:i w:val="0"/>
          <w:sz w:val="20"/>
          <w:vertAlign w:val="superscript"/>
        </w:rPr>
        <w:t>[10]</w:t>
      </w:r>
      <w:r>
        <w:rPr>
          <w:rFonts w:ascii="Times New Roman" w:hAnsi="Times New Roman"/>
          <w:b w:val="0"/>
          <w:i w:val="0"/>
          <w:sz w:val="24"/>
        </w:rPr>
        <w:t xml:space="preserve"> and with the broader literature on malpractice-driven specialty avoidance in the United States.</w:t>
      </w:r>
      <w:r>
        <w:rPr>
          <w:rFonts w:ascii="Times New Roman" w:hAnsi="Times New Roman"/>
          <w:b w:val="0"/>
          <w:i w:val="0"/>
          <w:sz w:val="20"/>
          <w:vertAlign w:val="superscript"/>
        </w:rPr>
        <w:t>[1-3]</w:t>
      </w:r>
      <w:r>
        <w:rPr>
          <w:rFonts w:ascii="Times New Roman" w:hAnsi="Times New Roman"/>
          <w:b w:val="0"/>
          <w:i w:val="0"/>
          <w:sz w:val="24"/>
        </w:rPr>
        <w:t xml:space="preserve"> Klick and Stratmann found that tort reforms increased the supply of physicians in high-risk specialties,</w:t>
      </w:r>
      <w:r>
        <w:rPr>
          <w:rFonts w:ascii="Times New Roman" w:hAnsi="Times New Roman"/>
          <w:b w:val="0"/>
          <w:i w:val="0"/>
          <w:sz w:val="20"/>
          <w:vertAlign w:val="superscript"/>
        </w:rPr>
        <w:t>[4]</w:t>
      </w:r>
      <w:r>
        <w:rPr>
          <w:rFonts w:ascii="Times New Roman" w:hAnsi="Times New Roman"/>
          <w:b w:val="0"/>
          <w:i w:val="0"/>
          <w:sz w:val="24"/>
        </w:rPr>
        <w:t xml:space="preserve"> providing further evidence for the incident avoidance pathway.</w:t>
      </w:r>
    </w:p>
    <w:p>
      <w:pPr>
        <w:spacing w:after="120" w:line="480" w:lineRule="auto"/>
      </w:pPr>
      <w:r>
        <w:rPr>
          <w:rFonts w:ascii="Times New Roman" w:hAnsi="Times New Roman"/>
          <w:b w:val="0"/>
          <w:i w:val="0"/>
          <w:sz w:val="24"/>
        </w:rPr>
        <w:t>The present study extends this literature by demonstrating that the phenomenon is not limited to traditionally “high-risk” specialties. Dermatology, ophthalmology, and otolaryngology—not typically considered malpractice-sensitive—showed significant forward Granger causality, suggesting that workforce sensitivity to safety incidents may be more widespread than previously recognised.</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the use of population-level data from mandatory national registries, covering 12 specialties over up to 20 years; the application of VAR/Granger methodology, which is better suited than ITS to continuously varying exposures; and the formal testing of bidirectional causality.</w:t>
      </w:r>
    </w:p>
    <w:p>
      <w:pPr>
        <w:spacing w:after="120" w:line="480" w:lineRule="auto"/>
      </w:pPr>
      <w:r>
        <w:rPr>
          <w:rFonts w:ascii="Times New Roman" w:hAnsi="Times New Roman"/>
          <w:b w:val="0"/>
          <w:i w:val="0"/>
          <w:sz w:val="24"/>
        </w:rPr>
        <w:t>Several limitations should be acknowledged. First, this is an ecological study using aggregate national data; individual-level causal pathways cannot be inferred. Granger causality tests temporal precedence in prediction, not true causation in the interventionist sense. Second, the biennial physician survey data required linear interpolation, which may smooth short-term fluctuations. Third, the JMSR series (11 years) provided limited statistical power, as reflected in the few significant JMSR-based results. Fourth, unmeasured confounders—including demographic shifts, remuneration differentials, lifestyle preferences, and policy interventions such as the 2004 postgraduate clinical training reform—may explain some associations. Fifth, the specialist trainee data cover only 8 years, precluding formal VAR analysis for this outcome.</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Granger-cause reductions in specialty-specific physician supply in 9 of 12 specialties analysed, with effects persisting for 3-5 years as estimated by impulse response functions. Bidirectional causality in several specialties suggests a reinforcing cycle between workforce shortages and safety incidents. These temporal parameters should be incorporated into workforce forecasting models. Further research using individual-level panel data and natural experiments is needed to confirm these associations and elucidate the underlying mechanisms.</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0"/>
          <w:vertAlign w:val="superscript"/>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The author declares no competing interests.</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Use of AI-assisted technologies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14. Onishi T. Impact of medical safety incidents on physician workforce and healthcare facility supply across 12 specialties in Japan: an interrupted time series analysis. Preprint 2025.</w:t>
      </w:r>
    </w:p>
    <w:p>
      <w:pPr>
        <w:spacing w:line="480" w:lineRule="auto" w:after="40"/>
      </w:pPr>
      <w:r>
        <w:rPr>
          <w:rFonts w:ascii="Times New Roman" w:hAnsi="Times New Roman"/>
          <w:sz w:val="20"/>
        </w:rPr>
        <w:t>15. Lütkepohl H. New Introduction to Multiple Time Series Analysis. Berlin: Springer; 2005.</w:t>
      </w:r>
    </w:p>
    <w:p>
      <w:pPr>
        <w:spacing w:line="480" w:lineRule="auto" w:after="40"/>
      </w:pPr>
      <w:r>
        <w:rPr>
          <w:rFonts w:ascii="Times New Roman" w:hAnsi="Times New Roman"/>
          <w:sz w:val="20"/>
        </w:rPr>
        <w:t>16. Granger CWJ. Investigating causal relations by econometric models and cross-spectral methods. Econometrica 1969;37:424-38.</w:t>
      </w:r>
    </w:p>
    <w:p>
      <w:pPr>
        <w:spacing w:line="480" w:lineRule="auto" w:after="40"/>
      </w:pPr>
      <w:r>
        <w:rPr>
          <w:rFonts w:ascii="Times New Roman" w:hAnsi="Times New Roman"/>
          <w:sz w:val="20"/>
        </w:rPr>
        <w:t>17. Toda HY, Yamamoto T. Statistical inference in vector autoregressions with possibly integrated processes. J Econom 1995;66:225-50.</w:t>
      </w:r>
    </w:p>
    <w:p>
      <w:pPr>
        <w:spacing w:line="480" w:lineRule="auto" w:after="40"/>
      </w:pPr>
      <w:r>
        <w:rPr>
          <w:rFonts w:ascii="Times New Roman" w:hAnsi="Times New Roman"/>
          <w:sz w:val="20"/>
        </w:rPr>
        <w:t>18.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19.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20. Ministry of Health, Labour and Welfare. Survey of physicians, dentists, and pharmacists. Tokyo: MHLW; 2023. [in Japanese]</w:t>
      </w:r>
    </w:p>
    <w:p>
      <w:pPr>
        <w:spacing w:line="480" w:lineRule="auto" w:after="40"/>
      </w:pPr>
      <w:r>
        <w:rPr>
          <w:rFonts w:ascii="Times New Roman" w:hAnsi="Times New Roman"/>
          <w:sz w:val="20"/>
        </w:rPr>
        <w:t>21. Ministry of Health, Labour and Welfare. Survey of medical institutions (dynamic survey). Tokyo: MHLW; 2024. [in Japanese]</w:t>
      </w:r>
    </w:p>
    <w:p>
      <w:pPr>
        <w:spacing w:line="480" w:lineRule="auto" w:after="40"/>
      </w:pPr>
      <w:r>
        <w:rPr>
          <w:rFonts w:ascii="Times New Roman" w:hAnsi="Times New Roman"/>
          <w:sz w:val="20"/>
        </w:rPr>
        <w:t>22. Japan Board of Medical Specialties. Specialist trainee registration statistics. Tokyo: JBMS; 2025. [in Japanese]</w:t>
      </w:r>
    </w:p>
    <w:p>
      <w:pPr>
        <w:spacing w:line="480" w:lineRule="auto" w:after="40"/>
      </w:pPr>
      <w:r>
        <w:rPr>
          <w:rFonts w:ascii="Times New Roman" w:hAnsi="Times New Roman"/>
          <w:sz w:val="20"/>
        </w:rPr>
        <w:t>23. Hamilton JD. Time Series Analysis. Princeton: Princeton University Press; 1994.</w:t>
      </w:r>
    </w:p>
    <w:p>
      <w:pPr>
        <w:spacing w:line="480" w:lineRule="auto" w:after="40"/>
      </w:pPr>
      <w:r>
        <w:rPr>
          <w:rFonts w:ascii="Times New Roman" w:hAnsi="Times New Roman"/>
          <w:sz w:val="20"/>
        </w:rPr>
        <w:t>24. Sims CA. Macroeconomics and reality. Econometrica 1980;48:1-48.</w:t>
      </w:r>
    </w:p>
    <w:p>
      <w:pPr>
        <w:spacing w:line="480" w:lineRule="auto" w:after="40"/>
      </w:pPr>
      <w:r>
        <w:rPr>
          <w:rFonts w:ascii="Times New Roman" w:hAnsi="Times New Roman"/>
          <w:sz w:val="20"/>
        </w:rPr>
        <w:t>25.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26. Virtanen P, Gommers R, Oliphant TE, et al. SciPy 1.0: fundamental algorithms for scientific computing in Python. Nat Methods 2020;17:261-72.</w:t>
      </w:r>
    </w:p>
    <w:p>
      <w:pPr>
        <w:spacing w:line="480" w:lineRule="auto" w:after="40"/>
      </w:pPr>
      <w:r>
        <w:rPr>
          <w:rFonts w:ascii="Times New Roman" w:hAnsi="Times New Roman"/>
          <w:sz w:val="20"/>
        </w:rPr>
        <w:t>27. McKinney W. Data structures for statistical computing in Python. Proceedings of the 9th Python in Science Conference. 2010:56-61.</w:t>
      </w:r>
    </w:p>
    <w:p>
      <w:pPr>
        <w:spacing w:line="480" w:lineRule="auto" w:after="40"/>
      </w:pPr>
      <w:r>
        <w:rPr>
          <w:rFonts w:ascii="Times New Roman" w:hAnsi="Times New Roman"/>
          <w:sz w:val="20"/>
        </w:rPr>
        <w:t>28. Currie J, MacLeod WB. First do no harm? Tort reform and birth outcomes. Q J Econ 2008;123:795-830.</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(2004-2023). The 12 core specialties are shown with dual y-axes.</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key specialties. Shaded areas indicate approximate 95% confidence bands. The x-axis represents years after the shock.</w:t>
      </w:r>
    </w:p>
    <w:p>
      <w:pPr>
        <w:spacing w:line="480" w:lineRule="auto" w:after="240"/>
      </w:pPr>
      <w:r>
        <w:rPr>
          <w:rFonts w:ascii="Times New Roman" w:hAnsi="Times New Roman"/>
          <w:b/>
          <w:sz w:val="22"/>
        </w:rPr>
        <w:t xml:space="preserve">Figure 3. </w:t>
      </w:r>
      <w:r>
        <w:rPr>
          <w:rFonts w:ascii="Times New Roman" w:hAnsi="Times New Roman"/>
          <w:sz w:val="22"/>
        </w:rPr>
        <w:t>VAR-based forecasts of physician and facility counts for general surgery, obstetrics and gynaecology, and internal medicine (2024-2033). Blue circles: historical data; red dashed line: VAR forecast; shaded area: 95% forecast interval.</w:t>
      </w:r>
    </w:p>
    <w:p>
      <w:pPr>
        <w:spacing w:after="120" w:line="480" w:lineRule="auto"/>
      </w:pPr>
      <w:r>
        <w:rPr>
          <w:rFonts w:ascii="Times New Roman" w:hAnsi="Times New Roman"/>
          <w:b w:val="0"/>
          <w:i/>
          <w:sz w:val="24"/>
        </w:rPr>
        <w:t>Supplementary Figure S1. Impulse response functions: response of facility counts to a one-unit shock in litigation cases for six key specialties.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