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p>
      <w:r>
        <w:t>The Editors</w:t>
      </w:r>
    </w:p>
    <w:p>
      <w:r>
        <w:rPr>
          <w:i/>
        </w:rPr>
        <w:t>Explorations in Economic History</w:t>
      </w:r>
    </w:p>
    <w:p/>
    <w:p>
      <w:r>
        <w:t>Dear Editors,</w:t>
      </w:r>
    </w:p>
    <w:p/>
    <w:p>
      <w:r>
        <w:t>I am pleased to submit the manuscript entitled "Network Exclusion and State Collapse: From Maritime Isolation to Technological Access Denial in the Long Run of History" for consideration by Explorations in Economic History.</w:t>
      </w:r>
    </w:p>
    <w:p>
      <w:r>
        <w:t>Using a comparative dataset of 96 historical polities spanning antiquity to the present, we distinguish between deliberate closure (policy-based trade bans, sakoku, bloc membership) and what we term "technical network exclusion": involuntary disconnection from the dominant exchange network of an era due to geographic or technological constraints. The manuscript presents four features that we believe are of interest to the journal's readership.</w:t>
      </w:r>
    </w:p>
    <w:p>
      <w:r>
        <w:t>First, a systematic sensitivity analysis demonstrates that reclassifying seven technically excluded polities transforms a non-significant association between closure and conquest (Fisher's exact p = 0.187) into a significant one (p = 0.020), while the core stock–flow odds ratio remains stable (OR = 1.774).</w:t>
      </w:r>
    </w:p>
    <w:p>
      <w:r>
        <w:t>Second, we analyze conditional closure—cases where polities maintained selective technology channels while restricting broader trade. Examples include Tokugawa Japan's rangaku through Dejima, Qing China's Canton system, Joseon Korea's tributary trade, and the Soviet Union's bloc-internal technology sharing. The mixed outcomes of these cases suggest that the open/closed dichotomy is insufficient; the conditions under which selective channels mitigate technology gaps merit further investigation.</w:t>
      </w:r>
    </w:p>
    <w:p>
      <w:r>
        <w:t>Third, the dose–response gradient across closure types—technical exclusion (100% conquest) &gt; policy bans &gt; sakoku (with partial conduit) &gt; bloc &gt; open—points to technology flow disruption, rather than trade restriction per se, as the critical mechanism.</w:t>
      </w:r>
    </w:p>
    <w:p>
      <w:r>
        <w:t>Fourth, the mechanism generalizes beyond geographic isolation: as the dominant network shifts from sea lanes to semiconductors, AI, and advanced robotics, states structurally excluded from these platforms may face analogous vulnerabilities.</w:t>
      </w:r>
    </w:p>
    <w:p>
      <w:r>
        <w:t>We probe the closure–conquest association with four causal identification strategies—instrumental variables, propensity score matching, a natural experiment framing, and a robustness battery including E-values, permutation tests, and leave-one-out analysis. The strongest evidence comes from the natural experiment approach: technically excluded polities show a 100% conquest rate compared with 62.3% for open polities (Fisher's exact p = 0.048), with no significant differences in observable covariates.</w:t>
      </w:r>
    </w:p>
    <w:p>
      <w:r>
        <w:t>The manuscript contains approximately 7,000 words, 5 tables, and 4 figures. Supplementary Table S1 provides the complete dataset. We confirm that this work has not been published or submitted elsewhere.</w:t>
      </w:r>
    </w:p>
    <w:p>
      <w:r>
        <w:t>We suggest the following reviewers based on their expertise in quantitative economic history:</w:t>
      </w:r>
    </w:p>
    <w:p>
      <w:pPr>
        <w:ind w:left="720"/>
      </w:pPr>
      <w:r>
        <w:t>• Prof. Jörg Baten (University of Tübingen) — cliometric methods and long-run development</w:t>
      </w:r>
    </w:p>
    <w:p>
      <w:pPr>
        <w:ind w:left="720"/>
      </w:pPr>
      <w:r>
        <w:t>• Prof. Stephen Broadberry (University of Oxford) — comparative economic history and GDP estimation</w:t>
      </w:r>
    </w:p>
    <w:p>
      <w:pPr>
        <w:ind w:left="720"/>
      </w:pPr>
      <w:r>
        <w:t>• Prof. Nathan Nunn (University of British Columbia) — long-run persistence and historical institutions</w:t>
      </w:r>
    </w:p>
    <w:p/>
    <w:p>
      <w:r>
        <w:t>Sincerely,</w:t>
      </w:r>
    </w:p>
    <w:p/>
    <w:p>
      <w:r>
        <w:t>[Author Name]</w:t>
      </w:r>
    </w:p>
    <w:p>
      <w:r>
        <w:t>[Affiliation]</w:t>
      </w:r>
    </w:p>
    <w:p>
      <w:r>
        <w:t>[Email]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