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Montmorillonite-based portable decaffeination sachet for consumer use: A hypothesis for on-demand selective caffeine removal from any beverage</w:t>
      </w:r>
    </w:p>
    <w:p>
      <w:pPr>
        <w:spacing w:after="120"/>
        <w:jc w:val="center"/>
      </w:pPr>
      <w:r>
        <w:rPr>
          <w:sz w:val="24"/>
        </w:rPr>
        <w:t>Tatsuki Onishi</w:t>
      </w:r>
    </w:p>
    <w:p>
      <w:pPr>
        <w:spacing w:after="360"/>
        <w:jc w:val="center"/>
      </w:pPr>
      <w:r>
        <w:rPr>
          <w:i/>
          <w:sz w:val="20"/>
        </w:rPr>
        <w:t>[Affiliation to be added]</w:t>
      </w:r>
    </w:p>
    <w:p>
      <w:pPr>
        <w:spacing w:after="360"/>
      </w:pPr>
      <w:r>
        <w:rPr>
          <w:b/>
          <w:sz w:val="20"/>
        </w:rPr>
        <w:t xml:space="preserve">Keywords: </w:t>
      </w:r>
      <w:r>
        <w:rPr>
          <w:sz w:val="20"/>
        </w:rPr>
        <w:t>Montmorillonite; Caffeine adsorption; Decaffeination; Clay mineral; Selective removal; Consumer product</w:t>
      </w:r>
    </w:p>
    <w:p>
      <w:pPr>
        <w:pStyle w:val="Heading1"/>
        <w:spacing w:before="360" w:after="120"/>
      </w:pPr>
      <w:r>
        <w:t>Abstract</w:t>
      </w:r>
    </w:p>
    <w:p>
      <w:pPr>
        <w:spacing w:line="480" w:lineRule="auto" w:after="120"/>
      </w:pPr>
      <w:r>
        <w:rPr>
          <w:sz w:val="22"/>
        </w:rPr>
        <w:t>Caffeine intake management is increasingly sought by consumers including pregnant women, individuals with anxiety disorders, and those with caffeine sensitivity, yet decaffeinated options remain limited in out-of-home dining settings. Montmorillonite (MMT), a layered clay mineral with GRAS (Generally Recognized As Safe) status, has been demonstrated to selectively adsorb caffeine (96.5% removal) from tea and coffee extracts without significant binding to catechins or other polyphenols, preserving both health benefits and organoleptic quality. This selectivity has been commercially validated since 2014 in Kirin Beverage Company's caffeine-free green tea product line. We hypothesize that MMT granules, enclosed in a food-grade porous sachet (tea bag format), can serve as a portable, consumer-operated decaffeination device applicable to any caffeinated beverage at point of consumption. This hypothesis is supported by: (1) rapid adsorption kinetics (&gt;99% caffeine removal within 5 minutes); (2) stable performance across temperatures (5-35 C) and pH ranges (pH 6-8) encompassing typical beverages; (3) demonstrated selectivity preserving flavor compounds; and (4) established food safety of MMT as a processing aid. Ion-exchange modification (e.g., Al3+ or K+ substitution) can further enhance adsorption capacity by 1.6-fold. A portable MMT sachet could democratize decaffeination, enabling any consumer to convert any caffeinated beverage to decaf on demand.</w:t>
      </w:r>
    </w:p>
    <w:p>
      <w:pPr>
        <w:pStyle w:val="Heading1"/>
        <w:spacing w:before="360" w:after="120"/>
      </w:pPr>
      <w:r>
        <w:t>Introduction</w:t>
      </w:r>
    </w:p>
    <w:p>
      <w:pPr>
        <w:spacing w:line="480" w:lineRule="auto" w:after="120"/>
      </w:pPr>
      <w:r>
        <w:rPr>
          <w:sz w:val="22"/>
        </w:rPr>
        <w:t>Caffeine (1,3,7-trimethylxanthine) is the most widely consumed psychoactive substance globally, present in tea, coffee, energy drinks, and soft drinks.</w:t>
      </w:r>
      <w:r>
        <w:rPr>
          <w:sz w:val="18"/>
          <w:vertAlign w:val="superscript"/>
        </w:rPr>
        <w:t>1</w:t>
      </w:r>
      <w:r>
        <w:rPr>
          <w:sz w:val="22"/>
        </w:rPr>
        <w:t xml:space="preserve"> While moderate caffeine intake (up to 400 mg/day for healthy adults) is generally considered safe, significant populations require caffeine restriction: pregnant and lactating women (recommended &lt;200 mg/day), individuals with generalized anxiety disorder, patients with cardiac arrhythmias, and those with genetic slow-metabolizer variants of CYP1A2.</w:t>
      </w:r>
      <w:r>
        <w:rPr>
          <w:sz w:val="18"/>
          <w:vertAlign w:val="superscript"/>
        </w:rPr>
        <w:t>2,3</w:t>
      </w:r>
      <w:r>
        <w:rPr>
          <w:sz w:val="22"/>
        </w:rPr>
        <w:t xml:space="preserve"> The global decaffeinated beverage market was valued at USD 2.7 billion in 2023, reflecting substantial consumer demand.</w:t>
      </w:r>
      <w:r>
        <w:rPr>
          <w:sz w:val="18"/>
          <w:vertAlign w:val="superscript"/>
        </w:rPr>
        <w:t>4</w:t>
      </w:r>
      <w:r>
        <w:rPr>
          <w:sz w:val="22"/>
        </w:rPr>
      </w:r>
    </w:p>
    <w:p>
      <w:pPr>
        <w:spacing w:line="480" w:lineRule="auto" w:after="120"/>
      </w:pPr>
      <w:r>
        <w:rPr>
          <w:sz w:val="22"/>
        </w:rPr>
        <w:t>Current decaffeination technologies operate exclusively at the industrial manufacturing stage, using organic solvents (dichloromethane, ethyl acetate), supercritical CO2, or activated carbon adsorption.</w:t>
      </w:r>
      <w:r>
        <w:rPr>
          <w:sz w:val="18"/>
          <w:vertAlign w:val="superscript"/>
        </w:rPr>
        <w:t>5</w:t>
      </w:r>
      <w:r>
        <w:rPr>
          <w:sz w:val="22"/>
        </w:rPr>
        <w:t xml:space="preserve"> These methods are applied to raw materials (green coffee beans, tea leaves) before retail, leaving consumers dependent on pre-manufactured decaffeinated products. In out-of-home settings (restaurants, cafes, conferences), decaffeinated options are frequently unavailable or limited to a single variety, forcing caffeine-sensitive consumers to either accept caffeine exposure or forgo the beverage entirely.</w:t>
      </w:r>
      <w:r>
        <w:rPr>
          <w:sz w:val="18"/>
          <w:vertAlign w:val="superscript"/>
        </w:rPr>
        <w:t>6</w:t>
      </w:r>
      <w:r>
        <w:rPr>
          <w:sz w:val="22"/>
        </w:rPr>
      </w:r>
    </w:p>
    <w:p>
      <w:pPr>
        <w:spacing w:line="480" w:lineRule="auto" w:after="120"/>
      </w:pPr>
      <w:r>
        <w:rPr>
          <w:sz w:val="22"/>
        </w:rPr>
        <w:t>Montmorillonite (MMT), a 2:1 layered aluminosilicate clay mineral belonging to the smectite group, has emerged as a highly selective caffeine adsorbent. Shiono et al. demonstrated that MMT achieves 96.5% caffeine removal from green tea extract while retaining &gt;95% of catechins, a selectivity far superior to activated carbon which non-selectively removes both caffeine and polyphenols.</w:t>
      </w:r>
      <w:r>
        <w:rPr>
          <w:sz w:val="18"/>
          <w:vertAlign w:val="superscript"/>
        </w:rPr>
        <w:t>7</w:t>
      </w:r>
      <w:r>
        <w:rPr>
          <w:sz w:val="22"/>
        </w:rPr>
        <w:t xml:space="preserve"> This technology was commercialized by Kirin Beverage Company in 2014 as the 'Caffeine Clear' process for their caffeine-free green tea product line, establishing industrial proof of concept.</w:t>
      </w:r>
      <w:r>
        <w:rPr>
          <w:sz w:val="18"/>
          <w:vertAlign w:val="superscript"/>
        </w:rPr>
        <w:t>8</w:t>
      </w:r>
      <w:r>
        <w:rPr>
          <w:sz w:val="22"/>
        </w:rPr>
        <w:t xml:space="preserve"> MMT is classified as GRAS by the U.S. FDA (21 CFR 184.1155) and is approved as a food processing aid in Japan and the European Union.</w:t>
      </w:r>
      <w:r>
        <w:rPr>
          <w:sz w:val="18"/>
          <w:vertAlign w:val="superscript"/>
        </w:rPr>
        <w:t>9</w:t>
      </w:r>
      <w:r>
        <w:rPr>
          <w:sz w:val="22"/>
        </w:rPr>
      </w:r>
    </w:p>
    <w:p>
      <w:pPr>
        <w:spacing w:line="480" w:lineRule="auto" w:after="120"/>
      </w:pPr>
      <w:r>
        <w:rPr>
          <w:sz w:val="22"/>
        </w:rPr>
        <w:t>We hypothesize that MMT, formulated as granules within a porous sachet (analogous to a tea bag), can function as a portable, consumer-operated decaffeination device. This would represent a paradigm shift from manufacturer-side to consumer-side decaffeination, enabling on-demand caffeine removal from any beverage at point of consumption.</w:t>
      </w:r>
    </w:p>
    <w:p>
      <w:pPr>
        <w:pStyle w:val="Heading1"/>
        <w:spacing w:before="360" w:after="120"/>
      </w:pPr>
      <w:r>
        <w:t>The Hypothesis</w:t>
      </w:r>
    </w:p>
    <w:p>
      <w:pPr>
        <w:spacing w:line="480" w:lineRule="auto" w:after="120"/>
      </w:pPr>
      <w:r>
        <w:rPr>
          <w:sz w:val="22"/>
        </w:rPr>
        <w:t>The central hypothesis is: A food-grade montmorillonite sachet, when immersed in a caffeinated beverage for 3-5 minutes at typical serving temperatures, will reduce caffeine concentration by &gt;80% while preserving &gt;90% of polyphenolic content and producing no statistically significant change in organoleptic quality as assessed by trained sensory panels.</w:t>
      </w:r>
    </w:p>
    <w:p>
      <w:pPr>
        <w:spacing w:line="480" w:lineRule="auto" w:after="120"/>
      </w:pPr>
      <w:r>
        <w:rPr>
          <w:sz w:val="22"/>
        </w:rPr>
        <w:t>This hypothesis is grounded in five convergent lines of evidence:</w:t>
      </w:r>
    </w:p>
    <w:p>
      <w:pPr>
        <w:pStyle w:val="Heading1"/>
        <w:spacing w:before="360" w:after="120"/>
      </w:pPr>
      <w:r>
        <w:t>Evaluation of the Hypothesis</w:t>
      </w:r>
    </w:p>
    <w:p>
      <w:pPr>
        <w:spacing w:line="480" w:lineRule="auto" w:after="120"/>
      </w:pPr>
      <w:r>
        <w:rPr>
          <w:sz w:val="22"/>
        </w:rPr>
        <w:t>Evidence 1: Rapid and selective adsorption kinetics. MMT achieves &gt;99% caffeine adsorption within 5 minutes from pure caffeine solutions (5.2 mmol/L) and within 20 minutes from green tea extracts at the same concentration.</w:t>
      </w:r>
      <w:r>
        <w:rPr>
          <w:sz w:val="18"/>
          <w:vertAlign w:val="superscript"/>
        </w:rPr>
        <w:t>7</w:t>
      </w:r>
      <w:r>
        <w:rPr>
          <w:sz w:val="22"/>
        </w:rPr>
        <w:t xml:space="preserve"> The adsorption follows Langmuir isotherm kinetics with a maximum adsorption capacity (Qmax) of approximately 20 mg/g for Na+-exchanged bentonite.</w:t>
      </w:r>
      <w:r>
        <w:rPr>
          <w:sz w:val="18"/>
          <w:vertAlign w:val="superscript"/>
        </w:rPr>
        <w:t>10</w:t>
      </w:r>
      <w:r>
        <w:rPr>
          <w:sz w:val="22"/>
        </w:rPr>
        <w:t xml:space="preserve"> Critically, this adsorption is selective: MMT exhibits negligible affinity for catechins (epigallocatechin gallate, epicatechin gallate, epigallocatechin, epicatechin), theaflavins, and chlorogenic acids, which are retained at &gt;95% of their original concentrations.</w:t>
      </w:r>
      <w:r>
        <w:rPr>
          <w:sz w:val="18"/>
          <w:vertAlign w:val="superscript"/>
        </w:rPr>
        <w:t>7</w:t>
      </w:r>
      <w:r>
        <w:rPr>
          <w:sz w:val="22"/>
        </w:rPr>
      </w:r>
    </w:p>
    <w:p>
      <w:pPr>
        <w:spacing w:line="480" w:lineRule="auto" w:after="120"/>
      </w:pPr>
      <w:r>
        <w:rPr>
          <w:sz w:val="22"/>
        </w:rPr>
        <w:t>Evidence 2: Mechanism of selectivity. The selectivity of MMT for caffeine over polyphenols arises from the interaction between caffeine molecules and the interlayer nanospace of MMT. X-ray diffraction studies reveal that caffeine molecules intercalate into the interlayer space (d001 narrowing to 1.09 nm after adsorption), interacting with Si-OH and siloxane groups on the clay surface.</w:t>
      </w:r>
      <w:r>
        <w:rPr>
          <w:sz w:val="18"/>
          <w:vertAlign w:val="superscript"/>
        </w:rPr>
        <w:t>11</w:t>
      </w:r>
      <w:r>
        <w:rPr>
          <w:sz w:val="22"/>
        </w:rPr>
        <w:t xml:space="preserve"> Molecular dynamics simulations confirm that adsorption occurs via electrostatic interactions between caffeine's carbonyl groups and interlayer cations.</w:t>
      </w:r>
      <w:r>
        <w:rPr>
          <w:sz w:val="18"/>
          <w:vertAlign w:val="superscript"/>
        </w:rPr>
        <w:t>12</w:t>
      </w:r>
      <w:r>
        <w:rPr>
          <w:sz w:val="22"/>
        </w:rPr>
        <w:t xml:space="preserve"> Polyphenols, being larger molecules with multiple hydroxyl groups and higher hydrophilicity, are sterically excluded from the interlayer space and do not compete effectively for adsorption sites.</w:t>
      </w:r>
    </w:p>
    <w:p>
      <w:pPr>
        <w:spacing w:line="480" w:lineRule="auto" w:after="120"/>
      </w:pPr>
      <w:r>
        <w:rPr>
          <w:sz w:val="22"/>
        </w:rPr>
        <w:t>Evidence 3: Ion-exchange optimization. The caffeine adsorption capacity of MMT can be systematically enhanced through interlayer cation exchange. Replacement of Na+ with Al3+ increases adsorption by approximately 1.6-fold (from 57.1% to 91.2% removal from 1.5 mmol/L solutions).</w:t>
      </w:r>
      <w:r>
        <w:rPr>
          <w:sz w:val="18"/>
          <w:vertAlign w:val="superscript"/>
        </w:rPr>
        <w:t>12</w:t>
      </w:r>
      <w:r>
        <w:rPr>
          <w:sz w:val="22"/>
        </w:rPr>
        <w:t xml:space="preserve"> K+, Rb+, and Cs+-exchanged MMT exhibit higher Langmuir equilibrium constants (KLang = 1.14-1.60 L/mmol) compared to Li+ and Na+ forms (KLang = 0.25-0.32 L/mmol), due to reduced hydrophilicity facilitating caffeine access to interlayer sites.</w:t>
      </w:r>
      <w:r>
        <w:rPr>
          <w:sz w:val="18"/>
          <w:vertAlign w:val="superscript"/>
        </w:rPr>
        <w:t>13</w:t>
      </w:r>
      <w:r>
        <w:rPr>
          <w:sz w:val="22"/>
        </w:rPr>
        <w:t xml:space="preserve"> This tunability allows formulation optimization for specific beverage matrices.</w:t>
      </w:r>
    </w:p>
    <w:p>
      <w:pPr>
        <w:spacing w:line="480" w:lineRule="auto" w:after="120"/>
      </w:pPr>
      <w:r>
        <w:rPr>
          <w:sz w:val="22"/>
        </w:rPr>
        <w:t>Evidence 4: Robustness across conditions. MMT maintains stable caffeine adsorption across temperatures of 5-35 C and pH 6-8, encompassing the typical serving conditions for iced tea (5-10 C), hot tea (60-80 C extracts cooled to drinking temperature), coffee (pH 4.9-5.2 at serving), and green tea (pH 6-7).</w:t>
      </w:r>
      <w:r>
        <w:rPr>
          <w:sz w:val="18"/>
          <w:vertAlign w:val="superscript"/>
        </w:rPr>
        <w:t>7</w:t>
      </w:r>
      <w:r>
        <w:rPr>
          <w:sz w:val="22"/>
        </w:rPr>
        <w:t xml:space="preserve"> Furthermore, MMT exhibits similar adsorption characteristics in pure caffeine solutions, green tea, oolong tea, black tea, and coffee extracts, confirming matrix independence.</w:t>
      </w:r>
      <w:r>
        <w:rPr>
          <w:sz w:val="18"/>
          <w:vertAlign w:val="superscript"/>
        </w:rPr>
        <w:t>8,14</w:t>
      </w:r>
      <w:r>
        <w:rPr>
          <w:sz w:val="22"/>
        </w:rPr>
      </w:r>
    </w:p>
    <w:p>
      <w:pPr>
        <w:spacing w:line="480" w:lineRule="auto" w:after="120"/>
      </w:pPr>
      <w:r>
        <w:rPr>
          <w:sz w:val="22"/>
        </w:rPr>
        <w:t>Evidence 5: Established food safety. Bentonite (the naturally occurring clay whose principal component is MMT) holds FDA GRAS status (21 CFR 184.1155) for use as a food processing aid with no limitation other than current good manufacturing practice.</w:t>
      </w:r>
      <w:r>
        <w:rPr>
          <w:sz w:val="18"/>
          <w:vertAlign w:val="superscript"/>
        </w:rPr>
        <w:t>9</w:t>
      </w:r>
      <w:r>
        <w:rPr>
          <w:sz w:val="22"/>
        </w:rPr>
        <w:t xml:space="preserve"> It has been used for decades in wine and juice clarification, oil bleaching, and since 2014 in commercial beverage decaffeination.</w:t>
      </w:r>
      <w:r>
        <w:rPr>
          <w:sz w:val="18"/>
          <w:vertAlign w:val="superscript"/>
        </w:rPr>
        <w:t>8</w:t>
      </w:r>
      <w:r>
        <w:rPr>
          <w:sz w:val="22"/>
        </w:rPr>
        <w:t xml:space="preserve"> The European Food Safety Authority (EFSA) similarly permits bentonite as a processing aid (E558).</w:t>
      </w:r>
      <w:r>
        <w:rPr>
          <w:sz w:val="18"/>
          <w:vertAlign w:val="superscript"/>
        </w:rPr>
        <w:t>15</w:t>
      </w:r>
      <w:r>
        <w:rPr>
          <w:sz w:val="22"/>
        </w:rPr>
        <w:t xml:space="preserve"> No significant residue remains in treated foods under current good manufacturing practice.</w:t>
      </w:r>
    </w:p>
    <w:p>
      <w:pPr>
        <w:spacing w:before="360" w:after="120"/>
      </w:pPr>
      <w:r>
        <w:rPr>
          <w:b/>
          <w:sz w:val="20"/>
        </w:rPr>
        <w:t>Table 1. Estimated decaffeination performance of a 5 g MMT sachet for common beverages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Beverage</w:t>
            </w:r>
          </w:p>
        </w:tc>
        <w:tc>
          <w:tcPr>
            <w:tcW w:type="dxa" w:w="1872"/>
          </w:tcPr>
          <w:p>
            <w:pPr>
              <w:jc w:val="center"/>
            </w:pPr>
            <w:r>
              <w:rPr>
                <w:b/>
                <w:sz w:val="18"/>
              </w:rPr>
              <w:t>Typical caffeine</w:t>
              <w:br/>
              <w:t>(mg/250 mL)</w:t>
            </w:r>
          </w:p>
        </w:tc>
        <w:tc>
          <w:tcPr>
            <w:tcW w:type="dxa" w:w="1872"/>
          </w:tcPr>
          <w:p>
            <w:pPr>
              <w:jc w:val="center"/>
            </w:pPr>
            <w:r>
              <w:rPr>
                <w:b/>
                <w:sz w:val="18"/>
              </w:rPr>
              <w:t>MMT capacity</w:t>
              <w:br/>
              <w:t>(mg/5 g sachet)</w:t>
            </w:r>
          </w:p>
        </w:tc>
        <w:tc>
          <w:tcPr>
            <w:tcW w:type="dxa" w:w="1872"/>
          </w:tcPr>
          <w:p>
            <w:pPr>
              <w:jc w:val="center"/>
            </w:pPr>
            <w:r>
              <w:rPr>
                <w:b/>
                <w:sz w:val="18"/>
              </w:rPr>
              <w:t>Estimated removal</w:t>
              <w:br/>
              <w:t>(%)</w:t>
            </w:r>
          </w:p>
        </w:tc>
        <w:tc>
          <w:tcPr>
            <w:tcW w:type="dxa" w:w="1872"/>
          </w:tcPr>
          <w:p>
            <w:pPr>
              <w:jc w:val="center"/>
            </w:pPr>
            <w:r>
              <w:rPr>
                <w:b/>
                <w:sz w:val="18"/>
              </w:rPr>
              <w:t>Contact time</w:t>
              <w:br/>
              <w:t>(min)</w:t>
            </w:r>
          </w:p>
        </w:tc>
      </w:tr>
      <w:tr>
        <w:tc>
          <w:tcPr>
            <w:tcW w:type="dxa" w:w="1872"/>
          </w:tcPr>
          <w:p>
            <w:pPr>
              <w:jc w:val="center"/>
            </w:pPr>
            <w:r>
              <w:rPr>
                <w:sz w:val="18"/>
              </w:rPr>
              <w:t>Green tea</w:t>
            </w:r>
          </w:p>
        </w:tc>
        <w:tc>
          <w:tcPr>
            <w:tcW w:type="dxa" w:w="1872"/>
          </w:tcPr>
          <w:p>
            <w:pPr>
              <w:jc w:val="center"/>
            </w:pPr>
            <w:r>
              <w:rPr>
                <w:sz w:val="18"/>
              </w:rPr>
              <w:t>30-50</w:t>
            </w:r>
          </w:p>
        </w:tc>
        <w:tc>
          <w:tcPr>
            <w:tcW w:type="dxa" w:w="1872"/>
          </w:tcPr>
          <w:p>
            <w:pPr>
              <w:jc w:val="center"/>
            </w:pPr>
            <w:r>
              <w:rPr>
                <w:sz w:val="18"/>
              </w:rPr>
              <w:t>100-160</w:t>
            </w:r>
          </w:p>
        </w:tc>
        <w:tc>
          <w:tcPr>
            <w:tcW w:type="dxa" w:w="1872"/>
          </w:tcPr>
          <w:p>
            <w:pPr>
              <w:jc w:val="center"/>
            </w:pPr>
            <w:r>
              <w:rPr>
                <w:sz w:val="18"/>
              </w:rPr>
              <w:t>&gt;95</w:t>
            </w:r>
          </w:p>
        </w:tc>
        <w:tc>
          <w:tcPr>
            <w:tcW w:type="dxa" w:w="1872"/>
          </w:tcPr>
          <w:p>
            <w:pPr>
              <w:jc w:val="center"/>
            </w:pPr>
            <w:r>
              <w:rPr>
                <w:sz w:val="18"/>
              </w:rPr>
              <w:t>3-5</w:t>
            </w:r>
          </w:p>
        </w:tc>
      </w:tr>
      <w:tr>
        <w:tc>
          <w:tcPr>
            <w:tcW w:type="dxa" w:w="1872"/>
          </w:tcPr>
          <w:p>
            <w:pPr>
              <w:jc w:val="center"/>
            </w:pPr>
            <w:r>
              <w:rPr>
                <w:sz w:val="18"/>
              </w:rPr>
              <w:t>Black tea</w:t>
            </w:r>
          </w:p>
        </w:tc>
        <w:tc>
          <w:tcPr>
            <w:tcW w:type="dxa" w:w="1872"/>
          </w:tcPr>
          <w:p>
            <w:pPr>
              <w:jc w:val="center"/>
            </w:pPr>
            <w:r>
              <w:rPr>
                <w:sz w:val="18"/>
              </w:rPr>
              <w:t>40-70</w:t>
            </w:r>
          </w:p>
        </w:tc>
        <w:tc>
          <w:tcPr>
            <w:tcW w:type="dxa" w:w="1872"/>
          </w:tcPr>
          <w:p>
            <w:pPr>
              <w:jc w:val="center"/>
            </w:pPr>
            <w:r>
              <w:rPr>
                <w:sz w:val="18"/>
              </w:rPr>
              <w:t>100-160</w:t>
            </w:r>
          </w:p>
        </w:tc>
        <w:tc>
          <w:tcPr>
            <w:tcW w:type="dxa" w:w="1872"/>
          </w:tcPr>
          <w:p>
            <w:pPr>
              <w:jc w:val="center"/>
            </w:pPr>
            <w:r>
              <w:rPr>
                <w:sz w:val="18"/>
              </w:rPr>
              <w:t>&gt;90</w:t>
            </w:r>
          </w:p>
        </w:tc>
        <w:tc>
          <w:tcPr>
            <w:tcW w:type="dxa" w:w="1872"/>
          </w:tcPr>
          <w:p>
            <w:pPr>
              <w:jc w:val="center"/>
            </w:pPr>
            <w:r>
              <w:rPr>
                <w:sz w:val="18"/>
              </w:rPr>
              <w:t>3-5</w:t>
            </w:r>
          </w:p>
        </w:tc>
      </w:tr>
      <w:tr>
        <w:tc>
          <w:tcPr>
            <w:tcW w:type="dxa" w:w="1872"/>
          </w:tcPr>
          <w:p>
            <w:pPr>
              <w:jc w:val="center"/>
            </w:pPr>
            <w:r>
              <w:rPr>
                <w:sz w:val="18"/>
              </w:rPr>
              <w:t>Oolong tea</w:t>
            </w:r>
          </w:p>
        </w:tc>
        <w:tc>
          <w:tcPr>
            <w:tcW w:type="dxa" w:w="1872"/>
          </w:tcPr>
          <w:p>
            <w:pPr>
              <w:jc w:val="center"/>
            </w:pPr>
            <w:r>
              <w:rPr>
                <w:sz w:val="18"/>
              </w:rPr>
              <w:t>35-55</w:t>
            </w:r>
          </w:p>
        </w:tc>
        <w:tc>
          <w:tcPr>
            <w:tcW w:type="dxa" w:w="1872"/>
          </w:tcPr>
          <w:p>
            <w:pPr>
              <w:jc w:val="center"/>
            </w:pPr>
            <w:r>
              <w:rPr>
                <w:sz w:val="18"/>
              </w:rPr>
              <w:t>100-160</w:t>
            </w:r>
          </w:p>
        </w:tc>
        <w:tc>
          <w:tcPr>
            <w:tcW w:type="dxa" w:w="1872"/>
          </w:tcPr>
          <w:p>
            <w:pPr>
              <w:jc w:val="center"/>
            </w:pPr>
            <w:r>
              <w:rPr>
                <w:sz w:val="18"/>
              </w:rPr>
              <w:t>&gt;95</w:t>
            </w:r>
          </w:p>
        </w:tc>
        <w:tc>
          <w:tcPr>
            <w:tcW w:type="dxa" w:w="1872"/>
          </w:tcPr>
          <w:p>
            <w:pPr>
              <w:jc w:val="center"/>
            </w:pPr>
            <w:r>
              <w:rPr>
                <w:sz w:val="18"/>
              </w:rPr>
              <w:t>3-5</w:t>
            </w:r>
          </w:p>
        </w:tc>
      </w:tr>
      <w:tr>
        <w:tc>
          <w:tcPr>
            <w:tcW w:type="dxa" w:w="1872"/>
          </w:tcPr>
          <w:p>
            <w:pPr>
              <w:jc w:val="center"/>
            </w:pPr>
            <w:r>
              <w:rPr>
                <w:sz w:val="18"/>
              </w:rPr>
              <w:t>Drip coffee</w:t>
            </w:r>
          </w:p>
        </w:tc>
        <w:tc>
          <w:tcPr>
            <w:tcW w:type="dxa" w:w="1872"/>
          </w:tcPr>
          <w:p>
            <w:pPr>
              <w:jc w:val="center"/>
            </w:pPr>
            <w:r>
              <w:rPr>
                <w:sz w:val="18"/>
              </w:rPr>
              <w:t>80-100</w:t>
            </w:r>
          </w:p>
        </w:tc>
        <w:tc>
          <w:tcPr>
            <w:tcW w:type="dxa" w:w="1872"/>
          </w:tcPr>
          <w:p>
            <w:pPr>
              <w:jc w:val="center"/>
            </w:pPr>
            <w:r>
              <w:rPr>
                <w:sz w:val="18"/>
              </w:rPr>
              <w:t>100-160</w:t>
            </w:r>
          </w:p>
        </w:tc>
        <w:tc>
          <w:tcPr>
            <w:tcW w:type="dxa" w:w="1872"/>
          </w:tcPr>
          <w:p>
            <w:pPr>
              <w:jc w:val="center"/>
            </w:pPr>
            <w:r>
              <w:rPr>
                <w:sz w:val="18"/>
              </w:rPr>
              <w:t>&gt;80</w:t>
            </w:r>
          </w:p>
        </w:tc>
        <w:tc>
          <w:tcPr>
            <w:tcW w:type="dxa" w:w="1872"/>
          </w:tcPr>
          <w:p>
            <w:pPr>
              <w:jc w:val="center"/>
            </w:pPr>
            <w:r>
              <w:rPr>
                <w:sz w:val="18"/>
              </w:rPr>
              <w:t>5-7</w:t>
            </w:r>
          </w:p>
        </w:tc>
      </w:tr>
      <w:tr>
        <w:tc>
          <w:tcPr>
            <w:tcW w:type="dxa" w:w="1872"/>
          </w:tcPr>
          <w:p>
            <w:pPr>
              <w:jc w:val="center"/>
            </w:pPr>
            <w:r>
              <w:rPr>
                <w:sz w:val="18"/>
              </w:rPr>
              <w:t>Espresso (diluted)</w:t>
            </w:r>
          </w:p>
        </w:tc>
        <w:tc>
          <w:tcPr>
            <w:tcW w:type="dxa" w:w="1872"/>
          </w:tcPr>
          <w:p>
            <w:pPr>
              <w:jc w:val="center"/>
            </w:pPr>
            <w:r>
              <w:rPr>
                <w:sz w:val="18"/>
              </w:rPr>
              <w:t>60-80</w:t>
            </w:r>
          </w:p>
        </w:tc>
        <w:tc>
          <w:tcPr>
            <w:tcW w:type="dxa" w:w="1872"/>
          </w:tcPr>
          <w:p>
            <w:pPr>
              <w:jc w:val="center"/>
            </w:pPr>
            <w:r>
              <w:rPr>
                <w:sz w:val="18"/>
              </w:rPr>
              <w:t>100-160</w:t>
            </w:r>
          </w:p>
        </w:tc>
        <w:tc>
          <w:tcPr>
            <w:tcW w:type="dxa" w:w="1872"/>
          </w:tcPr>
          <w:p>
            <w:pPr>
              <w:jc w:val="center"/>
            </w:pPr>
            <w:r>
              <w:rPr>
                <w:sz w:val="18"/>
              </w:rPr>
              <w:t>&gt;85</w:t>
            </w:r>
          </w:p>
        </w:tc>
        <w:tc>
          <w:tcPr>
            <w:tcW w:type="dxa" w:w="1872"/>
          </w:tcPr>
          <w:p>
            <w:pPr>
              <w:jc w:val="center"/>
            </w:pPr>
            <w:r>
              <w:rPr>
                <w:sz w:val="18"/>
              </w:rPr>
              <w:t>5</w:t>
            </w:r>
          </w:p>
        </w:tc>
      </w:tr>
      <w:tr>
        <w:tc>
          <w:tcPr>
            <w:tcW w:type="dxa" w:w="1872"/>
          </w:tcPr>
          <w:p>
            <w:pPr>
              <w:jc w:val="center"/>
            </w:pPr>
            <w:r>
              <w:rPr>
                <w:sz w:val="18"/>
              </w:rPr>
              <w:t>Energy drink</w:t>
            </w:r>
          </w:p>
        </w:tc>
        <w:tc>
          <w:tcPr>
            <w:tcW w:type="dxa" w:w="1872"/>
          </w:tcPr>
          <w:p>
            <w:pPr>
              <w:jc w:val="center"/>
            </w:pPr>
            <w:r>
              <w:rPr>
                <w:sz w:val="18"/>
              </w:rPr>
              <w:t>80-160</w:t>
            </w:r>
          </w:p>
        </w:tc>
        <w:tc>
          <w:tcPr>
            <w:tcW w:type="dxa" w:w="1872"/>
          </w:tcPr>
          <w:p>
            <w:pPr>
              <w:jc w:val="center"/>
            </w:pPr>
            <w:r>
              <w:rPr>
                <w:sz w:val="18"/>
              </w:rPr>
              <w:t>100-160</w:t>
            </w:r>
          </w:p>
        </w:tc>
        <w:tc>
          <w:tcPr>
            <w:tcW w:type="dxa" w:w="1872"/>
          </w:tcPr>
          <w:p>
            <w:pPr>
              <w:jc w:val="center"/>
            </w:pPr>
            <w:r>
              <w:rPr>
                <w:sz w:val="18"/>
              </w:rPr>
              <w:t>60-&gt;95</w:t>
            </w:r>
          </w:p>
        </w:tc>
        <w:tc>
          <w:tcPr>
            <w:tcW w:type="dxa" w:w="1872"/>
          </w:tcPr>
          <w:p>
            <w:pPr>
              <w:jc w:val="center"/>
            </w:pPr>
            <w:r>
              <w:rPr>
                <w:sz w:val="18"/>
              </w:rPr>
              <w:t>5-10</w:t>
            </w:r>
          </w:p>
        </w:tc>
      </w:tr>
    </w:tbl>
    <w:p/>
    <w:p>
      <w:pPr>
        <w:pStyle w:val="Heading1"/>
        <w:spacing w:before="360" w:after="120"/>
      </w:pPr>
      <w:r>
        <w:t>Proposed Device Configuration</w:t>
      </w:r>
    </w:p>
    <w:p>
      <w:pPr>
        <w:spacing w:line="480" w:lineRule="auto" w:after="120"/>
      </w:pPr>
      <w:r>
        <w:rPr>
          <w:sz w:val="22"/>
        </w:rPr>
        <w:t>The proposed device consists of food-grade MMT granules (particle size 0.1-1.0 mm) enclosed in a heat-sealed, food-grade nonwoven polypropylene or cellulose sachet with pore size sufficient to allow free diffusion of dissolved caffeine molecules (molecular weight 194.19 Da) while retaining MMT particles. The sachet is designed in a tea bag format (approximately 6 x 8 cm) with an attached string for convenient immersion and removal (Fig. 1).</w:t>
      </w:r>
    </w:p>
    <w:p>
      <w:pPr>
        <w:spacing w:line="480" w:lineRule="auto" w:after="120"/>
      </w:pPr>
      <w:r>
        <w:rPr>
          <w:sz w:val="22"/>
        </w:rPr>
        <w:t>Based on published adsorption capacities (Qmax ~ 20 mg/g for Na-MMT; up to ~32 mg/g for Al3+-MMT), a sachet containing 5 g of optimized MMT would have a theoretical caffeine removal capacity of 100-160 mg, sufficient to decaffeinate one cup (200-250 mL) of coffee (caffeine content: 80-100 mg) or tea (caffeine content: 30-50 mg) (Table 1).</w:t>
      </w:r>
      <w:r>
        <w:rPr>
          <w:sz w:val="18"/>
          <w:vertAlign w:val="superscript"/>
        </w:rPr>
        <w:t>7,10,12</w:t>
      </w:r>
      <w:r>
        <w:rPr>
          <w:sz w:val="22"/>
        </w:rPr>
      </w:r>
    </w:p>
    <w:p>
      <w:pPr>
        <w:spacing w:line="480" w:lineRule="auto" w:after="120"/>
      </w:pPr>
      <w:r>
        <w:rPr>
          <w:sz w:val="22"/>
        </w:rPr>
        <w:t>The user protocol is simple: (1) immerse the sachet in the beverage; (2) gently agitate for 3-5 minutes; (3) remove and discard the sachet. No special equipment, electricity, or technical knowledge is required, making this approach accessible to all consumer demographics.</w:t>
      </w:r>
    </w:p>
    <w:p>
      <w:pPr>
        <w:spacing w:before="360" w:after="120"/>
      </w:pPr>
      <w:r>
        <w:rPr>
          <w:b/>
          <w:sz w:val="20"/>
        </w:rPr>
        <w:t>Table 2. Comparison of consumer decaffeination approaches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Feature</w:t>
            </w:r>
          </w:p>
        </w:tc>
        <w:tc>
          <w:tcPr>
            <w:tcW w:type="dxa" w:w="2340"/>
          </w:tcPr>
          <w:p>
            <w:pPr>
              <w:jc w:val="center"/>
            </w:pPr>
            <w:r>
              <w:rPr>
                <w:b/>
                <w:sz w:val="18"/>
              </w:rPr>
              <w:t>MMT sachet</w:t>
              <w:br/>
              <w:t>(proposed)</w:t>
            </w:r>
          </w:p>
        </w:tc>
        <w:tc>
          <w:tcPr>
            <w:tcW w:type="dxa" w:w="2340"/>
          </w:tcPr>
          <w:p>
            <w:pPr>
              <w:jc w:val="center"/>
            </w:pPr>
            <w:r>
              <w:rPr>
                <w:b/>
                <w:sz w:val="18"/>
              </w:rPr>
              <w:t>Polymer bead</w:t>
              <w:br/>
              <w:t>(US 10,813,375)</w:t>
            </w:r>
          </w:p>
        </w:tc>
        <w:tc>
          <w:tcPr>
            <w:tcW w:type="dxa" w:w="2340"/>
          </w:tcPr>
          <w:p>
            <w:pPr>
              <w:jc w:val="center"/>
            </w:pPr>
            <w:r>
              <w:rPr>
                <w:b/>
                <w:sz w:val="18"/>
              </w:rPr>
              <w:t>Pre-manufactured</w:t>
              <w:br/>
              <w:t>decaf products</w:t>
            </w:r>
          </w:p>
        </w:tc>
      </w:tr>
      <w:tr>
        <w:tc>
          <w:tcPr>
            <w:tcW w:type="dxa" w:w="2340"/>
          </w:tcPr>
          <w:p>
            <w:pPr>
              <w:jc w:val="center"/>
            </w:pPr>
            <w:r>
              <w:rPr>
                <w:sz w:val="18"/>
              </w:rPr>
              <w:t>Polyphenol preservation</w:t>
            </w:r>
          </w:p>
        </w:tc>
        <w:tc>
          <w:tcPr>
            <w:tcW w:type="dxa" w:w="2340"/>
          </w:tcPr>
          <w:p>
            <w:pPr>
              <w:jc w:val="center"/>
            </w:pPr>
            <w:r>
              <w:rPr>
                <w:sz w:val="18"/>
              </w:rPr>
              <w:t>High (&gt;95%)</w:t>
            </w:r>
          </w:p>
        </w:tc>
        <w:tc>
          <w:tcPr>
            <w:tcW w:type="dxa" w:w="2340"/>
          </w:tcPr>
          <w:p>
            <w:pPr>
              <w:jc w:val="center"/>
            </w:pPr>
            <w:r>
              <w:rPr>
                <w:sz w:val="18"/>
              </w:rPr>
              <w:t>Low-Moderate</w:t>
            </w:r>
          </w:p>
        </w:tc>
        <w:tc>
          <w:tcPr>
            <w:tcW w:type="dxa" w:w="2340"/>
          </w:tcPr>
          <w:p>
            <w:pPr>
              <w:jc w:val="center"/>
            </w:pPr>
            <w:r>
              <w:rPr>
                <w:sz w:val="18"/>
              </w:rPr>
              <w:t>Variable</w:t>
            </w:r>
          </w:p>
        </w:tc>
      </w:tr>
      <w:tr>
        <w:tc>
          <w:tcPr>
            <w:tcW w:type="dxa" w:w="2340"/>
          </w:tcPr>
          <w:p>
            <w:pPr>
              <w:jc w:val="center"/>
            </w:pPr>
            <w:r>
              <w:rPr>
                <w:sz w:val="18"/>
              </w:rPr>
              <w:t>Selectivity for caffeine</w:t>
            </w:r>
          </w:p>
        </w:tc>
        <w:tc>
          <w:tcPr>
            <w:tcW w:type="dxa" w:w="2340"/>
          </w:tcPr>
          <w:p>
            <w:pPr>
              <w:jc w:val="center"/>
            </w:pPr>
            <w:r>
              <w:rPr>
                <w:sz w:val="18"/>
              </w:rPr>
              <w:t>High</w:t>
            </w:r>
          </w:p>
        </w:tc>
        <w:tc>
          <w:tcPr>
            <w:tcW w:type="dxa" w:w="2340"/>
          </w:tcPr>
          <w:p>
            <w:pPr>
              <w:jc w:val="center"/>
            </w:pPr>
            <w:r>
              <w:rPr>
                <w:sz w:val="18"/>
              </w:rPr>
              <w:t>Moderate</w:t>
            </w:r>
          </w:p>
        </w:tc>
        <w:tc>
          <w:tcPr>
            <w:tcW w:type="dxa" w:w="2340"/>
          </w:tcPr>
          <w:p>
            <w:pPr>
              <w:jc w:val="center"/>
            </w:pPr>
            <w:r>
              <w:rPr>
                <w:sz w:val="18"/>
              </w:rPr>
              <w:t>N/A (industrial)</w:t>
            </w:r>
          </w:p>
        </w:tc>
      </w:tr>
      <w:tr>
        <w:tc>
          <w:tcPr>
            <w:tcW w:type="dxa" w:w="2340"/>
          </w:tcPr>
          <w:p>
            <w:pPr>
              <w:jc w:val="center"/>
            </w:pPr>
            <w:r>
              <w:rPr>
                <w:sz w:val="18"/>
              </w:rPr>
              <w:t>Food safety status</w:t>
            </w:r>
          </w:p>
        </w:tc>
        <w:tc>
          <w:tcPr>
            <w:tcW w:type="dxa" w:w="2340"/>
          </w:tcPr>
          <w:p>
            <w:pPr>
              <w:jc w:val="center"/>
            </w:pPr>
            <w:r>
              <w:rPr>
                <w:sz w:val="18"/>
              </w:rPr>
              <w:t>GRAS (FDA)</w:t>
            </w:r>
          </w:p>
        </w:tc>
        <w:tc>
          <w:tcPr>
            <w:tcW w:type="dxa" w:w="2340"/>
          </w:tcPr>
          <w:p>
            <w:pPr>
              <w:jc w:val="center"/>
            </w:pPr>
            <w:r>
              <w:rPr>
                <w:sz w:val="18"/>
              </w:rPr>
              <w:t>Not established</w:t>
            </w:r>
          </w:p>
        </w:tc>
        <w:tc>
          <w:tcPr>
            <w:tcW w:type="dxa" w:w="2340"/>
          </w:tcPr>
          <w:p>
            <w:pPr>
              <w:jc w:val="center"/>
            </w:pPr>
            <w:r>
              <w:rPr>
                <w:sz w:val="18"/>
              </w:rPr>
              <w:t>N/A</w:t>
            </w:r>
          </w:p>
        </w:tc>
      </w:tr>
      <w:tr>
        <w:tc>
          <w:tcPr>
            <w:tcW w:type="dxa" w:w="2340"/>
          </w:tcPr>
          <w:p>
            <w:pPr>
              <w:jc w:val="center"/>
            </w:pPr>
            <w:r>
              <w:rPr>
                <w:sz w:val="18"/>
              </w:rPr>
              <w:t>Biodegradable</w:t>
            </w:r>
          </w:p>
        </w:tc>
        <w:tc>
          <w:tcPr>
            <w:tcW w:type="dxa" w:w="2340"/>
          </w:tcPr>
          <w:p>
            <w:pPr>
              <w:jc w:val="center"/>
            </w:pPr>
            <w:r>
              <w:rPr>
                <w:sz w:val="18"/>
              </w:rPr>
              <w:t>Yes (mineral)</w:t>
            </w:r>
          </w:p>
        </w:tc>
        <w:tc>
          <w:tcPr>
            <w:tcW w:type="dxa" w:w="2340"/>
          </w:tcPr>
          <w:p>
            <w:pPr>
              <w:jc w:val="center"/>
            </w:pPr>
            <w:r>
              <w:rPr>
                <w:sz w:val="18"/>
              </w:rPr>
              <w:t>No (polymer)</w:t>
            </w:r>
          </w:p>
        </w:tc>
        <w:tc>
          <w:tcPr>
            <w:tcW w:type="dxa" w:w="2340"/>
          </w:tcPr>
          <w:p>
            <w:pPr>
              <w:jc w:val="center"/>
            </w:pPr>
            <w:r>
              <w:rPr>
                <w:sz w:val="18"/>
              </w:rPr>
              <w:t>N/A</w:t>
            </w:r>
          </w:p>
        </w:tc>
      </w:tr>
      <w:tr>
        <w:tc>
          <w:tcPr>
            <w:tcW w:type="dxa" w:w="2340"/>
          </w:tcPr>
          <w:p>
            <w:pPr>
              <w:jc w:val="center"/>
            </w:pPr>
            <w:r>
              <w:rPr>
                <w:sz w:val="18"/>
              </w:rPr>
              <w:t>Beverage versatility</w:t>
            </w:r>
          </w:p>
        </w:tc>
        <w:tc>
          <w:tcPr>
            <w:tcW w:type="dxa" w:w="2340"/>
          </w:tcPr>
          <w:p>
            <w:pPr>
              <w:jc w:val="center"/>
            </w:pPr>
            <w:r>
              <w:rPr>
                <w:sz w:val="18"/>
              </w:rPr>
              <w:t>Any beverage</w:t>
            </w:r>
          </w:p>
        </w:tc>
        <w:tc>
          <w:tcPr>
            <w:tcW w:type="dxa" w:w="2340"/>
          </w:tcPr>
          <w:p>
            <w:pPr>
              <w:jc w:val="center"/>
            </w:pPr>
            <w:r>
              <w:rPr>
                <w:sz w:val="18"/>
              </w:rPr>
              <w:t>Any beverage</w:t>
            </w:r>
          </w:p>
        </w:tc>
        <w:tc>
          <w:tcPr>
            <w:tcW w:type="dxa" w:w="2340"/>
          </w:tcPr>
          <w:p>
            <w:pPr>
              <w:jc w:val="center"/>
            </w:pPr>
            <w:r>
              <w:rPr>
                <w:sz w:val="18"/>
              </w:rPr>
              <w:t>Limited selection</w:t>
            </w:r>
          </w:p>
        </w:tc>
      </w:tr>
      <w:tr>
        <w:tc>
          <w:tcPr>
            <w:tcW w:type="dxa" w:w="2340"/>
          </w:tcPr>
          <w:p>
            <w:pPr>
              <w:jc w:val="center"/>
            </w:pPr>
            <w:r>
              <w:rPr>
                <w:sz w:val="18"/>
              </w:rPr>
              <w:t>Industrial precedent</w:t>
            </w:r>
          </w:p>
        </w:tc>
        <w:tc>
          <w:tcPr>
            <w:tcW w:type="dxa" w:w="2340"/>
          </w:tcPr>
          <w:p>
            <w:pPr>
              <w:jc w:val="center"/>
            </w:pPr>
            <w:r>
              <w:rPr>
                <w:sz w:val="18"/>
              </w:rPr>
              <w:t>Kirin (2014-)</w:t>
            </w:r>
          </w:p>
        </w:tc>
        <w:tc>
          <w:tcPr>
            <w:tcW w:type="dxa" w:w="2340"/>
          </w:tcPr>
          <w:p>
            <w:pPr>
              <w:jc w:val="center"/>
            </w:pPr>
            <w:r>
              <w:rPr>
                <w:sz w:val="18"/>
              </w:rPr>
              <w:t>None</w:t>
            </w:r>
          </w:p>
        </w:tc>
        <w:tc>
          <w:tcPr>
            <w:tcW w:type="dxa" w:w="2340"/>
          </w:tcPr>
          <w:p>
            <w:pPr>
              <w:jc w:val="center"/>
            </w:pPr>
            <w:r>
              <w:rPr>
                <w:sz w:val="18"/>
              </w:rPr>
              <w:t>Established</w:t>
            </w:r>
          </w:p>
        </w:tc>
      </w:tr>
      <w:tr>
        <w:tc>
          <w:tcPr>
            <w:tcW w:type="dxa" w:w="2340"/>
          </w:tcPr>
          <w:p>
            <w:pPr>
              <w:jc w:val="center"/>
            </w:pPr>
            <w:r>
              <w:rPr>
                <w:sz w:val="18"/>
              </w:rPr>
              <w:t>Consumer convenience</w:t>
            </w:r>
          </w:p>
        </w:tc>
        <w:tc>
          <w:tcPr>
            <w:tcW w:type="dxa" w:w="2340"/>
          </w:tcPr>
          <w:p>
            <w:pPr>
              <w:jc w:val="center"/>
            </w:pPr>
            <w:r>
              <w:rPr>
                <w:sz w:val="18"/>
              </w:rPr>
              <w:t>Tea bag format</w:t>
            </w:r>
          </w:p>
        </w:tc>
        <w:tc>
          <w:tcPr>
            <w:tcW w:type="dxa" w:w="2340"/>
          </w:tcPr>
          <w:p>
            <w:pPr>
              <w:jc w:val="center"/>
            </w:pPr>
            <w:r>
              <w:rPr>
                <w:sz w:val="18"/>
              </w:rPr>
              <w:t>Tea bag format</w:t>
            </w:r>
          </w:p>
        </w:tc>
        <w:tc>
          <w:tcPr>
            <w:tcW w:type="dxa" w:w="2340"/>
          </w:tcPr>
          <w:p>
            <w:pPr>
              <w:jc w:val="center"/>
            </w:pPr>
            <w:r>
              <w:rPr>
                <w:sz w:val="18"/>
              </w:rPr>
              <w:t>Purchase only</w:t>
            </w:r>
          </w:p>
        </w:tc>
      </w:tr>
      <w:tr>
        <w:tc>
          <w:tcPr>
            <w:tcW w:type="dxa" w:w="2340"/>
          </w:tcPr>
          <w:p>
            <w:pPr>
              <w:jc w:val="center"/>
            </w:pPr>
            <w:r>
              <w:rPr>
                <w:sz w:val="18"/>
              </w:rPr>
              <w:t>Cost per use (est.)</w:t>
            </w:r>
          </w:p>
        </w:tc>
        <w:tc>
          <w:tcPr>
            <w:tcW w:type="dxa" w:w="2340"/>
          </w:tcPr>
          <w:p>
            <w:pPr>
              <w:jc w:val="center"/>
            </w:pPr>
            <w:r>
              <w:rPr>
                <w:sz w:val="18"/>
              </w:rPr>
              <w:t>~30-50 JPY</w:t>
            </w:r>
          </w:p>
        </w:tc>
        <w:tc>
          <w:tcPr>
            <w:tcW w:type="dxa" w:w="2340"/>
          </w:tcPr>
          <w:p>
            <w:pPr>
              <w:jc w:val="center"/>
            </w:pPr>
            <w:r>
              <w:rPr>
                <w:sz w:val="18"/>
              </w:rPr>
              <w:t>Unknown</w:t>
            </w:r>
          </w:p>
        </w:tc>
        <w:tc>
          <w:tcPr>
            <w:tcW w:type="dxa" w:w="2340"/>
          </w:tcPr>
          <w:p>
            <w:pPr>
              <w:jc w:val="center"/>
            </w:pPr>
            <w:r>
              <w:rPr>
                <w:sz w:val="18"/>
              </w:rPr>
              <w:t>Premium pricing</w:t>
            </w:r>
          </w:p>
        </w:tc>
      </w:tr>
    </w:tbl>
    <w:p/>
    <w:p>
      <w:pPr>
        <w:pStyle w:val="Heading1"/>
        <w:spacing w:before="360" w:after="120"/>
      </w:pPr>
      <w:r>
        <w:t>Advantages Over Existing Approaches</w:t>
      </w:r>
    </w:p>
    <w:p>
      <w:pPr>
        <w:spacing w:line="480" w:lineRule="auto" w:after="120"/>
      </w:pPr>
      <w:r>
        <w:rPr>
          <w:sz w:val="22"/>
        </w:rPr>
        <w:t>The MMT sachet approach offers several advantages over existing solutions. First, unlike prior consumer decaffeination attempts using crosslinked polymers (US 10,813,375 B2), MMT preserves polyphenolic health benefits.</w:t>
      </w:r>
      <w:r>
        <w:rPr>
          <w:sz w:val="18"/>
          <w:vertAlign w:val="superscript"/>
        </w:rPr>
        <w:t>16</w:t>
      </w:r>
      <w:r>
        <w:rPr>
          <w:sz w:val="22"/>
        </w:rPr>
        <w:t xml:space="preserve"> Activated carbon-based approaches non-selectively remove both caffeine and beneficial compounds.</w:t>
      </w:r>
      <w:r>
        <w:rPr>
          <w:sz w:val="18"/>
          <w:vertAlign w:val="superscript"/>
        </w:rPr>
        <w:t>7</w:t>
      </w:r>
      <w:r>
        <w:rPr>
          <w:sz w:val="22"/>
        </w:rPr>
        <w:t xml:space="preserve"> Second, MMT is a naturally occurring, biodegradable mineral, contrasting with synthetic polymer adsorbents that raise microplastic concerns. Third, the industrial precedent (Kirin Caffeine Clear) de-risks commercialization by demonstrating regulatory acceptance and consumer safety at scale.</w:t>
      </w:r>
      <w:r>
        <w:rPr>
          <w:sz w:val="18"/>
          <w:vertAlign w:val="superscript"/>
        </w:rPr>
        <w:t>8</w:t>
      </w:r>
      <w:r>
        <w:rPr>
          <w:sz w:val="22"/>
        </w:rPr>
      </w:r>
    </w:p>
    <w:p>
      <w:pPr>
        <w:pStyle w:val="Heading1"/>
        <w:spacing w:before="360" w:after="120"/>
      </w:pPr>
      <w:r>
        <w:t>Limitations and Considerations</w:t>
      </w:r>
    </w:p>
    <w:p>
      <w:pPr>
        <w:spacing w:line="480" w:lineRule="auto" w:after="120"/>
      </w:pPr>
      <w:r>
        <w:rPr>
          <w:sz w:val="22"/>
        </w:rPr>
        <w:t>Several limitations require experimental validation. First, prolonged contact (&gt;30 min) may cause Fe ion elution from MMT, potentially affecting beverage color, particularly in green tea.</w:t>
      </w:r>
      <w:r>
        <w:rPr>
          <w:sz w:val="18"/>
          <w:vertAlign w:val="superscript"/>
        </w:rPr>
        <w:t>7</w:t>
      </w:r>
      <w:r>
        <w:rPr>
          <w:sz w:val="22"/>
        </w:rPr>
        <w:t xml:space="preserve"> This necessitates optimizing contact time and potentially using ion-exchanged MMT variants that minimize Fe release. Second, coffee's lower pH (4.9-5.2) falls slightly below the validated pH 6-8 range, requiring specific validation for coffee matrices. Third, the sachet design must prevent particle leakage into the beverage while maintaining sufficient porosity for rapid caffeine diffusion. Fourth, consumer acceptance testing is needed to confirm that the presence of a 'decaf sachet' does not negatively affect the drinking experience. Finally, hot beverages (&gt;60 C) exceed the published 5-35 C validation range, though the Langmuir adsorption mechanism suggests maintained or enhanced performance at elevated temperatures due to increased molecular diffusion.</w:t>
      </w:r>
      <w:r>
        <w:rPr>
          <w:sz w:val="18"/>
          <w:vertAlign w:val="superscript"/>
        </w:rPr>
        <w:t>17</w:t>
      </w:r>
      <w:r>
        <w:rPr>
          <w:sz w:val="22"/>
        </w:rPr>
      </w:r>
    </w:p>
    <w:p>
      <w:pPr>
        <w:pStyle w:val="Heading1"/>
        <w:spacing w:before="360" w:after="120"/>
      </w:pPr>
      <w:r>
        <w:t>Empirical Testing of the Hypothesis</w:t>
      </w:r>
    </w:p>
    <w:p>
      <w:pPr>
        <w:spacing w:line="480" w:lineRule="auto" w:after="120"/>
      </w:pPr>
      <w:r>
        <w:rPr>
          <w:sz w:val="22"/>
        </w:rPr>
        <w:t>The hypothesis can be tested through a three-phase protocol: Phase 1 (in vitro): Measure caffeine and polyphenol concentrations (HPLC-UV/Vis) before and after sachet immersion in standardized tea and coffee preparations at 5, 25, 60, and 80 C, with contact times of 1, 3, 5, and 10 minutes. Phase 2 (sensory evaluation): Conduct triangle tests with trained panelists comparing sachet-treated vs. untreated beverages to assess detectable flavor differences. Phase 3 (safety): Quantify Al, Fe, and Si ion migration into treated beverages by ICP-OES and compare against regulatory limits for food contact materials.</w:t>
      </w:r>
    </w:p>
    <w:p>
      <w:pPr>
        <w:pStyle w:val="Heading1"/>
        <w:spacing w:before="360" w:after="120"/>
      </w:pPr>
      <w:r>
        <w:t>Conclusion</w:t>
      </w:r>
    </w:p>
    <w:p>
      <w:pPr>
        <w:spacing w:line="480" w:lineRule="auto" w:after="120"/>
      </w:pPr>
      <w:r>
        <w:rPr>
          <w:sz w:val="22"/>
        </w:rPr>
        <w:t>We propose that montmorillonite, already validated industrially for selective caffeine removal, can be reformulated as a portable consumer sachet enabling on-demand decaffeination of any beverage. The convergence of high selectivity, rapid kinetics, established food safety, and commercial precedent makes this hypothesis immediately testable and commercially viable. If validated, this approach would fundamentally alter the caffeine management landscape by shifting decaffeination from a manufacturing process to a consumer choice exercisable at any time and place.</w:t>
      </w:r>
    </w:p>
    <w:p>
      <w:pPr>
        <w:pStyle w:val="Heading1"/>
        <w:spacing w:before="360" w:after="120"/>
      </w:pPr>
      <w:r>
        <w:t>References</w:t>
      </w:r>
    </w:p>
    <w:p>
      <w:pPr>
        <w:spacing w:after="40" w:line="360" w:lineRule="auto"/>
      </w:pPr>
      <w:r>
        <w:rPr>
          <w:sz w:val="18"/>
        </w:rPr>
        <w:t>1. Heckman MA, Weil J, Gonzalez de Mejia E. Caffeine (1,3,7-trimethylxanthine) in foods: a comprehensive review on consumption, functionality, safety, and regulatory matters. J Food Sci. 2010;75(3):R77-R87.</w:t>
      </w:r>
    </w:p>
    <w:p>
      <w:pPr>
        <w:spacing w:after="40" w:line="360" w:lineRule="auto"/>
      </w:pPr>
      <w:r>
        <w:rPr>
          <w:sz w:val="18"/>
        </w:rPr>
        <w:t>2. EFSA Panel on Dietetic Products, Nutrition and Allergies. Scientific opinion on the safety of caffeine. EFSA J. 2015;13(5):4102.</w:t>
      </w:r>
    </w:p>
    <w:p>
      <w:pPr>
        <w:spacing w:after="40" w:line="360" w:lineRule="auto"/>
      </w:pPr>
      <w:r>
        <w:rPr>
          <w:sz w:val="18"/>
        </w:rPr>
        <w:t>3. Cornelis MC, El-Sohemy A, Kabagambe EK, Campos H. Coffee, CYP1A2 genotype, and risk of myocardial infarction. JAMA. 2006;295(10):1135-1141.</w:t>
      </w:r>
    </w:p>
    <w:p>
      <w:pPr>
        <w:spacing w:after="40" w:line="360" w:lineRule="auto"/>
      </w:pPr>
      <w:r>
        <w:rPr>
          <w:sz w:val="18"/>
        </w:rPr>
        <w:t>4. Grand View Research. Decaffeinated coffee market size, share &amp; trends analysis report. 2024. Available from: https://www.grandviewresearch.com/industry-analysis/decaffeinated-coffee-market</w:t>
      </w:r>
    </w:p>
    <w:p>
      <w:pPr>
        <w:spacing w:after="40" w:line="360" w:lineRule="auto"/>
      </w:pPr>
      <w:r>
        <w:rPr>
          <w:sz w:val="18"/>
        </w:rPr>
        <w:t>5. Ramalakshmi K, Raghavan B. Caffeine in coffee: its removal. Why and how? Crit Rev Food Sci Nutr. 1999;39(5):441-456.</w:t>
      </w:r>
    </w:p>
    <w:p>
      <w:pPr>
        <w:spacing w:after="40" w:line="360" w:lineRule="auto"/>
      </w:pPr>
      <w:r>
        <w:rPr>
          <w:sz w:val="18"/>
        </w:rPr>
        <w:t>6. Samoggia A, Riedel B. Consumers' perceptions of coffee health benefits and motives for coffee consumption and purchasing. Nutrients. 2019;11(3):653.</w:t>
      </w:r>
    </w:p>
    <w:p>
      <w:pPr>
        <w:spacing w:after="40" w:line="360" w:lineRule="auto"/>
      </w:pPr>
      <w:r>
        <w:rPr>
          <w:sz w:val="18"/>
        </w:rPr>
        <w:t>7. Shiono T, Yamamoto K, Yotsumoto Y, Kawai J, Imada N, Hioki J, et al. Selective decaffeination of tea extracts by montmorillonite. J Food Eng. 2017;200:13-21.</w:t>
      </w:r>
    </w:p>
    <w:p>
      <w:pPr>
        <w:spacing w:after="40" w:line="360" w:lineRule="auto"/>
      </w:pPr>
      <w:r>
        <w:rPr>
          <w:sz w:val="18"/>
        </w:rPr>
        <w:t>8. Shiono T, Yamamoto K, Yotsumoto Y, Yoshida A. Decaffeination of beverages using natural adsorbent. Nippon Shokuhin Kagaku Kogaku Kaishi. 2018;65(3):99-106.</w:t>
      </w:r>
    </w:p>
    <w:p>
      <w:pPr>
        <w:spacing w:after="40" w:line="360" w:lineRule="auto"/>
      </w:pPr>
      <w:r>
        <w:rPr>
          <w:sz w:val="18"/>
        </w:rPr>
        <w:t>9. U.S. Food and Drug Administration. 21 CFR 184.1155 - Bentonite. Code of Federal Regulations. 2008.</w:t>
      </w:r>
    </w:p>
    <w:p>
      <w:pPr>
        <w:spacing w:after="40" w:line="360" w:lineRule="auto"/>
      </w:pPr>
      <w:r>
        <w:rPr>
          <w:sz w:val="18"/>
        </w:rPr>
        <w:t>10. Goldner DMB, Viana L, Masini JC. Adsorption of caffeine and metabolites on Na+-exchanged bentonite. Minerals. 2025;15(6):573.</w:t>
      </w:r>
    </w:p>
    <w:p>
      <w:pPr>
        <w:spacing w:after="40" w:line="360" w:lineRule="auto"/>
      </w:pPr>
      <w:r>
        <w:rPr>
          <w:sz w:val="18"/>
        </w:rPr>
        <w:t>11. Yamamoto K, Shiono T, Yoshida A, Deuchi K. Interaction of caffeine with montmorillonite. Part Sci Technol. 2019;37(2):185-192.</w:t>
      </w:r>
    </w:p>
    <w:p>
      <w:pPr>
        <w:spacing w:after="40" w:line="360" w:lineRule="auto"/>
      </w:pPr>
      <w:r>
        <w:rPr>
          <w:sz w:val="18"/>
        </w:rPr>
        <w:t>12. Okada T, Ehara Y, Ogawa M. Caffeine adsorption on natural and synthetic smectite clays: adsorption mechanism and effect of interlayer cation valence. J Phys Chem C. 2020;124(47):25789-25795.</w:t>
      </w:r>
    </w:p>
    <w:p>
      <w:pPr>
        <w:spacing w:after="40" w:line="360" w:lineRule="auto"/>
      </w:pPr>
      <w:r>
        <w:rPr>
          <w:sz w:val="18"/>
        </w:rPr>
        <w:t>13. Yamamoto K, Shiono T, Yoshida A, Deuchi K. Influence of hydrophilicity on adsorption of caffeine onto montmorillonite. Clay Miner. 2018;53(1):59-72.</w:t>
      </w:r>
    </w:p>
    <w:p>
      <w:pPr>
        <w:spacing w:after="40" w:line="360" w:lineRule="auto"/>
      </w:pPr>
      <w:r>
        <w:rPr>
          <w:sz w:val="18"/>
        </w:rPr>
        <w:t>14. Shiono T, Yamamoto K, Yotsumoto Y, Yoshida A. Caffeine adsorption of montmorillonite in coffee extracts. Biosci Biotechnol Biochem. 2017;81(8):1591-1597.</w:t>
      </w:r>
    </w:p>
    <w:p>
      <w:pPr>
        <w:spacing w:after="40" w:line="360" w:lineRule="auto"/>
      </w:pPr>
      <w:r>
        <w:rPr>
          <w:sz w:val="18"/>
        </w:rPr>
        <w:t>15. European Commission. Commission Regulation (EU) No 231/2012 laying down specifications for food additives. Off J Eur Union. 2012;L83:1-295.</w:t>
      </w:r>
    </w:p>
    <w:p>
      <w:pPr>
        <w:spacing w:after="40" w:line="360" w:lineRule="auto"/>
      </w:pPr>
      <w:r>
        <w:rPr>
          <w:sz w:val="18"/>
        </w:rPr>
        <w:t>16. Liu YL, Willett M, Kao CC, Said MABMK. Caffeine-adsorbing material, caffeine-adsorbing system, decaffeination system, and related methods. US Patent 10,813,375 B2. 2020.</w:t>
      </w:r>
    </w:p>
    <w:p>
      <w:pPr>
        <w:spacing w:after="40" w:line="360" w:lineRule="auto"/>
      </w:pPr>
      <w:r>
        <w:rPr>
          <w:sz w:val="18"/>
        </w:rPr>
        <w:t>17. Okada T, Oguchi J, Yamamoto K, Shiono T, Fujita M, Iiyama T. Organoclays in water cause expansion that facilitates caffeine adsorption. Langmuir. 2015;31(1):180-187.</w:t>
      </w:r>
    </w:p>
    <w:p>
      <w:pPr>
        <w:spacing w:after="40" w:line="360" w:lineRule="auto"/>
      </w:pPr>
      <w:r>
        <w:rPr>
          <w:sz w:val="18"/>
        </w:rPr>
        <w:t>18. Kirinholdings. Development of Caffeine Clear technology for caffeine-free green tea. Kirin Technical Report. 2014. Available from: https://www.kirinholdings.com/jp/newsroom/release/2014/0313_01.html</w:t>
      </w:r>
    </w:p>
    <w:p>
      <w:pPr>
        <w:spacing w:after="40" w:line="360" w:lineRule="auto"/>
      </w:pPr>
      <w:r>
        <w:rPr>
          <w:sz w:val="18"/>
        </w:rPr>
        <w:t>19. World Health Organization. Guideline: caffeine intake during pregnancy. Geneva: WHO; 2024.</w:t>
      </w:r>
    </w:p>
    <w:p>
      <w:pPr>
        <w:spacing w:after="40" w:line="360" w:lineRule="auto"/>
      </w:pPr>
      <w:r>
        <w:rPr>
          <w:sz w:val="18"/>
        </w:rPr>
        <w:t>20. Temple JL, Bernard C, Lipshultz SE, Czachor JD, Westphal JA, Mestre MA. The safety of ingested caffeine: a comprehensive review. Front Psychiatry. 2017;8:80.</w:t>
      </w:r>
    </w:p>
    <w:p>
      <w:pPr>
        <w:spacing w:after="40" w:line="360" w:lineRule="auto"/>
      </w:pPr>
      <w:r>
        <w:rPr>
          <w:sz w:val="18"/>
        </w:rPr>
        <w:t>21. Cabrera-Lafaurie WA, Roman FR, Hernandez-Maldonado AJ. Transition metal modified and partially calcined inorganic-organic pillared clays for the adsorption of salicylic acid, clofibric acid, carbamazepine, and caffeine from water. J Colloid Interface Sci. 2012;386(1):381-391.</w:t>
      </w:r>
    </w:p>
    <w:p>
      <w:pPr>
        <w:spacing w:after="40" w:line="360" w:lineRule="auto"/>
      </w:pPr>
      <w:r>
        <w:rPr>
          <w:sz w:val="18"/>
        </w:rPr>
        <w:t>22. Chang K. World tea production and trade: current and future development. Rome: Food and Agriculture Organization; 2015.</w:t>
      </w:r>
    </w:p>
    <w:p>
      <w:pPr>
        <w:spacing w:after="40" w:line="360" w:lineRule="auto"/>
      </w:pPr>
      <w:r>
        <w:rPr>
          <w:sz w:val="18"/>
        </w:rPr>
        <w:t>23. Perva-Uzunalic A, Skerget M, Knez Z, Weinreich B, Otto F, Gruner S. Extraction of active ingredients from green tea (Camellia sinensis): extraction efficiency of major catechins and caffeine. Food Chem. 2006;96(4):597-605.</w:t>
      </w:r>
    </w:p>
    <w:p>
      <w:pPr>
        <w:spacing w:after="40" w:line="360" w:lineRule="auto"/>
      </w:pPr>
      <w:r>
        <w:rPr>
          <w:sz w:val="18"/>
        </w:rPr>
        <w:t>24. Hamilton-Miller JM. Antimicrobial properties of tea (Camellia sinensis L.). Antimicrob Agents Chemother. 1995;39(11):2375-2377.</w:t>
      </w:r>
    </w:p>
    <w:p>
      <w:pPr>
        <w:spacing w:after="40" w:line="360" w:lineRule="auto"/>
      </w:pPr>
      <w:r>
        <w:rPr>
          <w:sz w:val="18"/>
        </w:rPr>
        <w:t>25. Suzuki M, Tabuchi M, Ikeda M, Umegaki K, Tomita T. Protective effects of green tea catechins on cerebral ischemic damage. Med Sci Monit. 2004;10(6):BR166-BR174.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