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キーワード: ソロー残差、タイム・トゥ・ビルド、無形資本、成長会計、フロー=ストック整合性、国富。</w:t>
      </w:r>
    </w:p>
    <w:p>
      <w:pPr>
        <w:spacing w:after="120" w:line="480" w:lineRule="auto"/>
        <w:ind w:firstLine="480"/>
      </w:pPr>
      <w:r>
        <w:rPr>
          <w:rFonts w:ascii="Times New Roman" w:hAnsi="Times New Roman" w:eastAsia="MS Mincho"/>
          <w:b w:val="0"/>
          <w:i w:val="0"/>
          <w:sz w:val="24"/>
        </w:rPr>
        <w:t>JEL コード: E01; E22; O47; C13.</w:t>
      </w:r>
    </w:p>
    <w:p>
      <w:pPr>
        <w:spacing w:after="120" w:line="480" w:lineRule="auto"/>
        <w:ind w:firstLine="480"/>
      </w:pPr>
      <w:r>
        <w:rPr>
          <w:rFonts w:ascii="Times New Roman" w:hAnsi="Times New Roman" w:eastAsia="MS Mincho"/>
          <w:b w:val="0"/>
          <w:i w:val="0"/>
          <w:sz w:val="24"/>
        </w:rPr>
        <w:t>宣言事項</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資金: 本研究に対する外部資金の提供はない。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AI ツールの使用: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要旨。 従来の成長会計が全要素生産性（TFP）と呼ぶもののかなりの部分が、帳簿上の人為的歪みであることを示す。これは、公式統計がゼロと置く時変タイム・トゥ・ビルドパラメータ μ(t) と省略された無形資本シェア β に起因する。OECD・中所得国39カ国（Penn World Table 10.01、世界銀行CWON、1995–2019年）について、μのドリフトとβ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480" w:lineRule="auto"/>
        <w:ind w:firstLine="480"/>
      </w:pPr>
      <w:r>
        <w:rPr>
          <w:rFonts w:ascii="Times New Roman" w:hAnsi="Times New Roman" w:eastAsia="MS Mincho"/>
          <w:b w:val="0"/>
          <w:i w:val="0"/>
          <w:sz w:val="24"/>
        </w:rPr>
        <w:t>キーワード: ソロー残差、タイム・トゥ・ビルド、無形資本、成長会計、フロー=ストック整合性、国富。</w:t>
      </w:r>
    </w:p>
    <w:p>
      <w:pPr>
        <w:spacing w:after="120" w:line="480" w:lineRule="auto"/>
        <w:ind w:firstLine="480"/>
      </w:pPr>
      <w:r>
        <w:rPr>
          <w:rFonts w:ascii="Times New Roman" w:hAnsi="Times New Roman" w:eastAsia="MS Mincho"/>
          <w:b w:val="0"/>
          <w:i w:val="0"/>
          <w:sz w:val="24"/>
        </w:rPr>
        <w:t>JEL コード: E01, E22, O47, C13.</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480" w:lineRule="auto"/>
        <w:ind w:firstLine="480"/>
      </w:pPr>
      <w:r>
        <w:rPr>
          <w:rFonts w:ascii="Times New Roman" w:hAnsi="Times New Roman" w:eastAsia="MS Mincho"/>
          <w:b w:val="0"/>
          <w:i w:val="0"/>
          <w:sz w:val="24"/>
        </w:rPr>
        <w:t>第一のパラメータは、時変の投資から産出へのラグ μ(t) である。標準的な恒久棚卸法（PIM）は、投資が即座に生産的になる（μ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2020）。μ が上昇しているのにゼロと扱うと、PIM資本ストックのタイミングが狂い、ソロー残差がその誤差を吸収する。第二のパラメータは、無形資本シェア β である。Corrado, Hulten, and Sichel (2005, 2009) が無形投資の量的な大きさを示してきたにもかかわらず、世界銀行 CWON（Lange, Wodon, and Carey, 2018）を含む公的国富会計はほとんどの無形資本を生産資本から除外したままである。β をゼロとすれば、欠落資本が再びTFPを膨張させる。</w:t>
      </w:r>
    </w:p>
    <w:p>
      <w:pPr>
        <w:spacing w:after="120" w:line="48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480" w:lineRule="auto"/>
        <w:ind w:firstLine="480"/>
      </w:pPr>
      <w:r>
        <w:rPr>
          <w:rFonts w:ascii="Times New Roman" w:hAnsi="Times New Roman" w:eastAsia="MS Mincho"/>
          <w:b w:val="0"/>
          <w:i w:val="0"/>
          <w:sz w:val="24"/>
        </w:rPr>
        <w:t>貢献は三つある。第一に、OECD・中所得国39カ国（Penn World Table 10.01、世界銀行CWON、1995–2019年）について μ(t) と β を同時推定し、時変 μ(t)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節でソロー残差分解と反事実的国富シミュレーションを含む結果を報告する。第 6 節で政策含意と Beyond-GDP 議論を議論し、第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4"/>
        </w:rPr>
        <w:t>5.10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48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480" w:lineRule="auto"/>
        <w:ind w:firstLine="480"/>
      </w:pPr>
      <w:r>
        <w:rPr>
          <w:rFonts w:ascii="Times New Roman" w:hAnsi="Times New Roman" w:eastAsia="MS Mincho"/>
          <w:b w:val="0"/>
          <w:i w:val="0"/>
          <w:sz w:val="24"/>
        </w:rPr>
        <w:t>M0 のもとでソロー残差は log A₀(t) = log Y − α log K₀ − (1 − α) log LH であり、K₀ は即時 PIM ストックである。M2 のもとでは log A₂(t) = log Y − α log K₂ − (1 − α) log LH となり、K₂ はテンポドリフト PIM ストックである。成長率分散の差――Var(Δ log A₀) 対 Var(Δ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480" w:lineRule="auto"/>
        <w:ind w:firstLine="480"/>
      </w:pPr>
      <w:r>
        <w:rPr>
          <w:rFonts w:ascii="Times New Roman" w:hAnsi="Times New Roman" w:eastAsia="MS Mincho"/>
          <w:b w:val="0"/>
          <w:i w:val="0"/>
          <w:sz w:val="24"/>
        </w:rPr>
        <w:t>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β̂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480" w:lineRule="auto"/>
      </w:pPr>
      <w:r>
        <w:rPr>
          <w:rFonts w:ascii="Times New Roman" w:hAnsi="Times New Roman" w:eastAsia="MS Mincho"/>
          <w:b/>
          <w:i w:val="0"/>
          <w:sz w:val="24"/>
        </w:rPr>
        <w:t>5.11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480" w:lineRule="auto"/>
        <w:ind w:firstLine="480"/>
      </w:pPr>
      <w:r>
        <w:rPr>
          <w:rFonts w:ascii="Times New Roman" w:hAnsi="Times New Roman" w:eastAsia="MS Mincho"/>
          <w:b w:val="0"/>
          <w:i w:val="0"/>
          <w:sz w:val="24"/>
        </w:rPr>
        <w:t>無形資本シェア β には直接的な政策含意がある：β が公式国富会計に含まれていれば、国民の生産資本は上方修正される。これを定量化するため、各国の 2019 年時点の反事実的生産資本を CWON_PCA × (1 + β̂ × K_I/K_tang) として計算する。K_I/K_tang は 2019 年時点の無形/有形 PIM ストック比である。</w:t>
      </w:r>
    </w:p>
    <w:p>
      <w:pPr>
        <w:spacing w:after="120" w:line="480" w:lineRule="auto"/>
        <w:ind w:firstLine="480"/>
      </w:pPr>
      <w:r>
        <w:rPr>
          <w:rFonts w:ascii="Times New Roman" w:hAnsi="Times New Roman" w:eastAsia="MS Mincho"/>
          <w:b w:val="0"/>
          <w:i w:val="0"/>
          <w:sz w:val="24"/>
        </w:rPr>
        <w:t>図 11 は β̂ &gt; 0 の 21 カ国の結果を示す。オランダ、フランス、ノルウェーが最大の調整（0.9–1.1 %）を示し、高い β̂（0.34）と高い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48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5.10 節の歴史的分解は、ソロー残差が真のイノベーションと資本ストック計測誤差を混同しているという長年の疑念に数字を与える。M0（即時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5. テンポ・アーティファクトの TFP 成長率分散シェア：M0 → M2（テンポ）および M0 → M4（統合）における Var(Δ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