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Abstract</w:t>
      </w:r>
    </w:p>
    <w:p>
      <w:pPr>
        <w:spacing w:line="360" w:lineRule="auto"/>
      </w:pPr>
      <w:r>
        <w:t>Objectives: Archaic-like segments near focal loci such as the ABO blood-group gene are frequently read as clues to blood-group history, special population connections, or migration routes, yet such readings are rarely tested against a genome-wide baseline that respects the dependence structure of pairwise data. We build a reproducible, dependence-aware baseline for population-level archaic-segment sharing and use it as a negative control for exceptional-connection and focal-locus interpretations. Materials and Methods: High-confidence archaic-introgression calls from 3,134 individuals in 66 populations were obtained using hmmix, a hidden Markov model-based detection method, and summarized in 500-kilobase (kb) windows. Each individual-haplotype-window contributed at most one presence, constraining population frequencies to 0-1. Pearson similarity was calculated for 2,145 population pairs. Distance associations and pair-level residual outliers were evaluated with population-label quadratic assignment permutations and false-discovery-rate control, with sensitivity to window size, similarity metric, sample-size threshold, dataset, zero-distance pairs, and regional omission. Results: Similarity declined with distance for Neanderthal (raw r=-0.497) and Denisovan (raw r=-0.462) profiles; expanded-model partial distance correlations were -0.369 and -0.326, with population-label permutation P values of 0.0001 and 0.0002. No non-admixed pair met both z&gt;2 and false-discovery-rate q&lt;0.10, and a prespecified ABO-window scan yielded no route-level signal. Conclusions: Population-level archaic-segment sharing reflects broad geographic structure, but under dependence-aware inference it supports neither exceptional population pairs nor an ABO-mediated migration narrative. The baseline provides a reusable standard against which focal-locus archaic claims can be evaluated.</w:t>
      </w:r>
    </w:p>
    <w:p>
      <w:r>
        <w:rPr>
          <w:b/>
        </w:rPr>
        <w:t xml:space="preserve">Keywords: </w:t>
      </w:r>
      <w:r>
        <w:t>archaic introgression; Neanderthal; Denisovan;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treat it as a negative control.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extracted by a documented, reproducible script from the public Neanderthal-segment catalogue of Iasi et al. (2024), using the GRCh37 ABO interval that corresponds to the GRCh38 window analysed here; ancient and modern calls used different pipelines and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spacing w:before="320"/>
        <w:jc w:val="center"/>
      </w:pPr>
      <w:r>
        <w:drawing>
          <wp:inline xmlns:a="http://schemas.openxmlformats.org/drawingml/2006/main" xmlns:pic="http://schemas.openxmlformats.org/drawingml/2006/picture">
            <wp:extent cx="5806440" cy="2714541"/>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806440" cy="2714541"/>
                    </a:xfrm>
                    <a:prstGeom prst="rect"/>
                  </pic:spPr>
                </pic:pic>
              </a:graphicData>
            </a:graphic>
          </wp:inline>
        </w:drawing>
      </w:r>
    </w:p>
    <w:p>
      <w:pPr>
        <w:spacing w:before="200" w:line="276" w:lineRule="auto"/>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spacing w:before="320"/>
        <w:jc w:val="center"/>
      </w:pPr>
      <w:r>
        <w:drawing>
          <wp:inline xmlns:a="http://schemas.openxmlformats.org/drawingml/2006/main" xmlns:pic="http://schemas.openxmlformats.org/drawingml/2006/picture">
            <wp:extent cx="5806440" cy="2695784"/>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806440" cy="2695784"/>
                    </a:xfrm>
                    <a:prstGeom prst="rect"/>
                  </pic:spPr>
                </pic:pic>
              </a:graphicData>
            </a:graphic>
          </wp:inline>
        </w:drawing>
      </w:r>
    </w:p>
    <w:p>
      <w:pPr>
        <w:spacing w:before="200" w:line="276" w:lineRule="auto"/>
      </w:pPr>
      <w:r>
        <w:rPr>
          <w:b/>
        </w:rPr>
        <w:t xml:space="preserve">Figure 2. </w:t>
      </w:r>
      <w:r>
        <w:t>Pairwise archaic-segment profile similarity for 31 prespecified populations. The subset is displayed for legibility; all 66 populations were analyzed.</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spacing w:before="320"/>
        <w:jc w:val="center"/>
      </w:pPr>
      <w:r>
        <w:drawing>
          <wp:inline xmlns:a="http://schemas.openxmlformats.org/drawingml/2006/main" xmlns:pic="http://schemas.openxmlformats.org/drawingml/2006/picture">
            <wp:extent cx="5806440" cy="3440471"/>
            <wp:docPr id="3" name="Picture 3"/>
            <wp:cNvGraphicFramePr>
              <a:graphicFrameLocks noChangeAspect="1"/>
            </wp:cNvGraphicFramePr>
            <a:graphic>
              <a:graphicData uri="http://schemas.openxmlformats.org/drawingml/2006/picture">
                <pic:pic>
                  <pic:nvPicPr>
                    <pic:cNvPr id="0" name="fig4_sensitivity_admixed.png"/>
                    <pic:cNvPicPr/>
                  </pic:nvPicPr>
                  <pic:blipFill>
                    <a:blip r:embed="rId11"/>
                    <a:stretch>
                      <a:fillRect/>
                    </a:stretch>
                  </pic:blipFill>
                  <pic:spPr>
                    <a:xfrm>
                      <a:off x="0" y="0"/>
                      <a:ext cx="5806440" cy="3440471"/>
                    </a:xfrm>
                    <a:prstGeom prst="rect"/>
                  </pic:spPr>
                </pic:pic>
              </a:graphicData>
            </a:graphic>
          </wp:inline>
        </w:drawing>
      </w:r>
    </w:p>
    <w:p>
      <w:pPr>
        <w:spacing w:before="200" w:line="276" w:lineRule="auto"/>
      </w:pPr>
      <w:r>
        <w:rPr>
          <w:b/>
        </w:rPr>
        <w:t xml:space="preserve">Figure 3. </w:t>
      </w:r>
      <w:r>
        <w:t>Sensitivity of the descriptive Neanderthal distance correlation to exclusion of designated recently admixed populations.</w:t>
      </w:r>
    </w:p>
    <w:p>
      <w:pPr>
        <w:spacing w:before="320"/>
        <w:jc w:val="center"/>
      </w:pPr>
      <w:r>
        <w:drawing>
          <wp:inline xmlns:a="http://schemas.openxmlformats.org/drawingml/2006/main" xmlns:pic="http://schemas.openxmlformats.org/drawingml/2006/picture">
            <wp:extent cx="5806440" cy="3705395"/>
            <wp:docPr id="4" name="Picture 4"/>
            <wp:cNvGraphicFramePr>
              <a:graphicFrameLocks noChangeAspect="1"/>
            </wp:cNvGraphicFramePr>
            <a:graphic>
              <a:graphicData uri="http://schemas.openxmlformats.org/drawingml/2006/picture">
                <pic:pic>
                  <pic:nvPicPr>
                    <pic:cNvPr id="0" name="fig5_window_sensitivity.png"/>
                    <pic:cNvPicPr/>
                  </pic:nvPicPr>
                  <pic:blipFill>
                    <a:blip r:embed="rId12"/>
                    <a:stretch>
                      <a:fillRect/>
                    </a:stretch>
                  </pic:blipFill>
                  <pic:spPr>
                    <a:xfrm>
                      <a:off x="0" y="0"/>
                      <a:ext cx="5806440" cy="3705395"/>
                    </a:xfrm>
                    <a:prstGeom prst="rect"/>
                  </pic:spPr>
                </pic:pic>
              </a:graphicData>
            </a:graphic>
          </wp:inline>
        </w:drawing>
      </w:r>
    </w:p>
    <w:p>
      <w:pPr>
        <w:spacing w:before="200" w:line="276" w:lineRule="auto"/>
      </w:pPr>
      <w:r>
        <w:rPr>
          <w:b/>
        </w:rPr>
        <w:t xml:space="preserve">Figure 4. </w:t>
      </w:r>
      <w:r>
        <w:t>Descriptive geographic distance correlations at 250-kb, 500-kb, and 1-Mb window sizes. Quadratic assignment procedure results are tabulated in Supplementary Data.</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spacing w:before="280"/>
      </w:pPr>
      <w:r>
        <w:rPr>
          <w:b/>
        </w:rPr>
        <w:t>Table 1. Positive-residual Neanderthal pairs after false discovery rate control</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AF7"/>
          </w:tcPr>
          <w:p>
            <w:pPr>
              <w:spacing w:line="240" w:lineRule="auto"/>
            </w:pPr>
            <w:r>
              <w:rPr>
                <w:rFonts w:ascii="Arial" w:hAnsi="Arial"/>
                <w:b/>
                <w:sz w:val="17"/>
              </w:rPr>
              <w:t>Population 1</w:t>
            </w:r>
          </w:p>
        </w:tc>
        <w:tc>
          <w:tcPr>
            <w:tcW w:type="dxa" w:w="1337"/>
            <w:shd w:fill="D9EAF7"/>
          </w:tcPr>
          <w:p>
            <w:pPr>
              <w:spacing w:line="240" w:lineRule="auto"/>
            </w:pPr>
            <w:r>
              <w:rPr>
                <w:rFonts w:ascii="Arial" w:hAnsi="Arial"/>
                <w:b/>
                <w:sz w:val="17"/>
              </w:rPr>
              <w:t>Population 2</w:t>
            </w:r>
          </w:p>
        </w:tc>
        <w:tc>
          <w:tcPr>
            <w:tcW w:type="dxa" w:w="1337"/>
            <w:shd w:fill="D9EAF7"/>
          </w:tcPr>
          <w:p>
            <w:pPr>
              <w:spacing w:line="240" w:lineRule="auto"/>
            </w:pPr>
            <w:r>
              <w:rPr>
                <w:rFonts w:ascii="Arial" w:hAnsi="Arial"/>
                <w:b/>
                <w:sz w:val="17"/>
              </w:rPr>
              <w:t>Region 1</w:t>
            </w:r>
          </w:p>
        </w:tc>
        <w:tc>
          <w:tcPr>
            <w:tcW w:type="dxa" w:w="1337"/>
            <w:shd w:fill="D9EAF7"/>
          </w:tcPr>
          <w:p>
            <w:pPr>
              <w:spacing w:line="240" w:lineRule="auto"/>
            </w:pPr>
            <w:r>
              <w:rPr>
                <w:rFonts w:ascii="Arial" w:hAnsi="Arial"/>
                <w:b/>
                <w:sz w:val="17"/>
              </w:rPr>
              <w:t>Region 2</w:t>
            </w:r>
          </w:p>
        </w:tc>
        <w:tc>
          <w:tcPr>
            <w:tcW w:type="dxa" w:w="1337"/>
            <w:shd w:fill="D9EAF7"/>
          </w:tcPr>
          <w:p>
            <w:pPr>
              <w:spacing w:line="240" w:lineRule="auto"/>
            </w:pPr>
            <w:r>
              <w:rPr>
                <w:rFonts w:ascii="Arial" w:hAnsi="Arial"/>
                <w:b/>
                <w:sz w:val="17"/>
              </w:rPr>
              <w:t>Distance (km)</w:t>
            </w:r>
          </w:p>
        </w:tc>
        <w:tc>
          <w:tcPr>
            <w:tcW w:type="dxa" w:w="1337"/>
            <w:shd w:fill="D9EAF7"/>
          </w:tcPr>
          <w:p>
            <w:pPr>
              <w:spacing w:line="240" w:lineRule="auto"/>
            </w:pPr>
            <w:r>
              <w:rPr>
                <w:rFonts w:ascii="Arial" w:hAnsi="Arial"/>
                <w:b/>
                <w:sz w:val="17"/>
              </w:rPr>
              <w:t>Sharing (r)</w:t>
            </w:r>
          </w:p>
        </w:tc>
        <w:tc>
          <w:tcPr>
            <w:tcW w:type="dxa" w:w="1337"/>
            <w:shd w:fill="D9EAF7"/>
          </w:tcPr>
          <w:p>
            <w:pPr>
              <w:spacing w:line="240" w:lineRule="auto"/>
            </w:pPr>
            <w:r>
              <w:rPr>
                <w:rFonts w:ascii="Arial" w:hAnsi="Arial"/>
                <w:b/>
                <w:sz w:val="17"/>
              </w:rPr>
              <w:t>z-score</w:t>
            </w:r>
          </w:p>
        </w:tc>
      </w:tr>
      <w:tr>
        <w:tc>
          <w:tcPr>
            <w:tcW w:type="dxa" w:w="1337"/>
          </w:tcPr>
          <w:p>
            <w:pPr>
              <w:spacing w:line="240" w:lineRule="auto"/>
            </w:pPr>
            <w:r>
              <w:rPr>
                <w:rFonts w:ascii="Arial" w:hAnsi="Arial"/>
                <w:b w:val="0"/>
                <w:sz w:val="17"/>
              </w:rPr>
              <w:t>No qualifying pair</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w:t>
            </w:r>
          </w:p>
        </w:tc>
        <w:tc>
          <w:tcPr>
            <w:tcW w:type="dxa" w:w="1337"/>
          </w:tcPr>
          <w:p>
            <w:pPr>
              <w:spacing w:line="240" w:lineRule="auto"/>
            </w:pPr>
            <w:r>
              <w:rPr>
                <w:rFonts w:ascii="Arial" w:hAnsi="Arial"/>
                <w:b w:val="0"/>
                <w:sz w:val="17"/>
              </w:rPr>
              <w:t>No z&gt;2 and q&lt;0.10 result</w:t>
            </w:r>
          </w:p>
        </w:tc>
      </w:tr>
    </w:tbl>
    <w:p>
      <w:pPr>
        <w:spacing w:line="240" w:lineRule="auto"/>
      </w:pPr>
      <w:r>
        <w:rPr>
          <w:sz w:val="18"/>
        </w:rPr>
        <w:t>Note. The prespecified family contains all non-admixed population pairs. No pair met both z&gt;2 and Benjamini-Hochberg q&lt;0.10; the Denisovan analysis likewise identified no qualifying pair. Complete nominal rankings and dependence-aware model results are provided in Supplementary Data.</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247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spacing w:before="320"/>
        <w:jc w:val="center"/>
      </w:pPr>
      <w:r>
        <w:drawing>
          <wp:inline xmlns:a="http://schemas.openxmlformats.org/drawingml/2006/main" xmlns:pic="http://schemas.openxmlformats.org/drawingml/2006/picture">
            <wp:extent cx="5806440" cy="2332323"/>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806440" cy="2332323"/>
                    </a:xfrm>
                    <a:prstGeom prst="rect"/>
                  </pic:spPr>
                </pic:pic>
              </a:graphicData>
            </a:graphic>
          </wp:inline>
        </w:drawing>
      </w:r>
    </w:p>
    <w:p>
      <w:pPr>
        <w:spacing w:before="200" w:line="276" w:lineRule="auto"/>
      </w:pPr>
      <w:r>
        <w:rPr>
          <w:b/>
        </w:rPr>
        <w:t xml:space="preserve">Figure 5.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spacing w:before="280"/>
      </w:pPr>
      <w:r>
        <w:rPr>
          <w:b/>
        </w:rPr>
        <w:t>Table 2. ABO-window Neanderthal-reference composition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9EAF7"/>
          </w:tcPr>
          <w:p>
            <w:pPr>
              <w:spacing w:line="240" w:lineRule="auto"/>
            </w:pPr>
            <w:r>
              <w:rPr>
                <w:rFonts w:ascii="Arial" w:hAnsi="Arial"/>
                <w:b/>
                <w:sz w:val="17"/>
              </w:rPr>
              <w:t>Region</w:t>
            </w:r>
          </w:p>
        </w:tc>
        <w:tc>
          <w:tcPr>
            <w:tcW w:type="dxa" w:w="1872"/>
            <w:shd w:fill="D9EAF7"/>
          </w:tcPr>
          <w:p>
            <w:pPr>
              <w:spacing w:line="240" w:lineRule="auto"/>
            </w:pPr>
            <w:r>
              <w:rPr>
                <w:rFonts w:ascii="Arial" w:hAnsi="Arial"/>
                <w:b/>
                <w:sz w:val="17"/>
              </w:rPr>
              <w:t>n</w:t>
            </w:r>
          </w:p>
        </w:tc>
        <w:tc>
          <w:tcPr>
            <w:tcW w:type="dxa" w:w="1872"/>
            <w:shd w:fill="D9EAF7"/>
          </w:tcPr>
          <w:p>
            <w:pPr>
              <w:spacing w:line="240" w:lineRule="auto"/>
            </w:pPr>
            <w:r>
              <w:rPr>
                <w:rFonts w:ascii="Arial" w:hAnsi="Arial"/>
                <w:b/>
                <w:sz w:val="17"/>
              </w:rPr>
              <w:t>Altai %</w:t>
            </w:r>
          </w:p>
        </w:tc>
        <w:tc>
          <w:tcPr>
            <w:tcW w:type="dxa" w:w="1872"/>
            <w:shd w:fill="D9EAF7"/>
          </w:tcPr>
          <w:p>
            <w:pPr>
              <w:spacing w:line="240" w:lineRule="auto"/>
            </w:pPr>
            <w:r>
              <w:rPr>
                <w:rFonts w:ascii="Arial" w:hAnsi="Arial"/>
                <w:b/>
                <w:sz w:val="17"/>
              </w:rPr>
              <w:t>Vindija %</w:t>
            </w:r>
          </w:p>
        </w:tc>
        <w:tc>
          <w:tcPr>
            <w:tcW w:type="dxa" w:w="1872"/>
            <w:shd w:fill="D9EAF7"/>
          </w:tcPr>
          <w:p>
            <w:pPr>
              <w:spacing w:line="240" w:lineRule="auto"/>
            </w:pPr>
            <w:r>
              <w:rPr>
                <w:rFonts w:ascii="Arial" w:hAnsi="Arial"/>
                <w:b/>
                <w:sz w:val="17"/>
              </w:rPr>
              <w:t>Chagyrskaya %</w:t>
            </w:r>
          </w:p>
        </w:tc>
      </w:tr>
      <w:tr>
        <w:tc>
          <w:tcPr>
            <w:tcW w:type="dxa" w:w="1872"/>
          </w:tcPr>
          <w:p>
            <w:pPr>
              <w:spacing w:line="240" w:lineRule="auto"/>
            </w:pPr>
            <w:r>
              <w:rPr>
                <w:rFonts w:ascii="Arial" w:hAnsi="Arial"/>
                <w:b w:val="0"/>
                <w:sz w:val="17"/>
              </w:rPr>
              <w:t>East Asia</w:t>
            </w:r>
          </w:p>
        </w:tc>
        <w:tc>
          <w:tcPr>
            <w:tcW w:type="dxa" w:w="1872"/>
          </w:tcPr>
          <w:p>
            <w:pPr>
              <w:spacing w:line="240" w:lineRule="auto"/>
            </w:pPr>
            <w:r>
              <w:rPr>
                <w:rFonts w:ascii="Arial" w:hAnsi="Arial"/>
                <w:b w:val="0"/>
                <w:sz w:val="17"/>
              </w:rPr>
              <w:t>57</w:t>
            </w:r>
          </w:p>
        </w:tc>
        <w:tc>
          <w:tcPr>
            <w:tcW w:type="dxa" w:w="1872"/>
          </w:tcPr>
          <w:p>
            <w:pPr>
              <w:spacing w:line="240" w:lineRule="auto"/>
            </w:pPr>
            <w:r>
              <w:rPr>
                <w:rFonts w:ascii="Arial" w:hAnsi="Arial"/>
                <w:b w:val="0"/>
                <w:sz w:val="17"/>
              </w:rPr>
              <w:t>54.4</w:t>
            </w:r>
          </w:p>
        </w:tc>
        <w:tc>
          <w:tcPr>
            <w:tcW w:type="dxa" w:w="1872"/>
          </w:tcPr>
          <w:p>
            <w:pPr>
              <w:spacing w:line="240" w:lineRule="auto"/>
            </w:pPr>
            <w:r>
              <w:rPr>
                <w:rFonts w:ascii="Arial" w:hAnsi="Arial"/>
                <w:b w:val="0"/>
                <w:sz w:val="17"/>
              </w:rPr>
              <w:t>1.8</w:t>
            </w:r>
          </w:p>
        </w:tc>
        <w:tc>
          <w:tcPr>
            <w:tcW w:type="dxa" w:w="1872"/>
          </w:tcPr>
          <w:p>
            <w:pPr>
              <w:spacing w:line="240" w:lineRule="auto"/>
            </w:pPr>
            <w:r>
              <w:rPr>
                <w:rFonts w:ascii="Arial" w:hAnsi="Arial"/>
                <w:b w:val="0"/>
                <w:sz w:val="17"/>
              </w:rPr>
              <w:t>43.9</w:t>
            </w:r>
          </w:p>
        </w:tc>
      </w:tr>
      <w:tr>
        <w:tc>
          <w:tcPr>
            <w:tcW w:type="dxa" w:w="1872"/>
          </w:tcPr>
          <w:p>
            <w:pPr>
              <w:spacing w:line="240" w:lineRule="auto"/>
            </w:pPr>
            <w:r>
              <w:rPr>
                <w:rFonts w:ascii="Arial" w:hAnsi="Arial"/>
                <w:b w:val="0"/>
                <w:sz w:val="17"/>
              </w:rPr>
              <w:t>Europe</w:t>
            </w:r>
          </w:p>
        </w:tc>
        <w:tc>
          <w:tcPr>
            <w:tcW w:type="dxa" w:w="1872"/>
          </w:tcPr>
          <w:p>
            <w:pPr>
              <w:spacing w:line="240" w:lineRule="auto"/>
            </w:pPr>
            <w:r>
              <w:rPr>
                <w:rFonts w:ascii="Arial" w:hAnsi="Arial"/>
                <w:b w:val="0"/>
                <w:sz w:val="17"/>
              </w:rPr>
              <w:t>275</w:t>
            </w:r>
          </w:p>
        </w:tc>
        <w:tc>
          <w:tcPr>
            <w:tcW w:type="dxa" w:w="1872"/>
          </w:tcPr>
          <w:p>
            <w:pPr>
              <w:spacing w:line="240" w:lineRule="auto"/>
            </w:pPr>
            <w:r>
              <w:rPr>
                <w:rFonts w:ascii="Arial" w:hAnsi="Arial"/>
                <w:b w:val="0"/>
                <w:sz w:val="17"/>
              </w:rPr>
              <w:t>7.3</w:t>
            </w:r>
          </w:p>
        </w:tc>
        <w:tc>
          <w:tcPr>
            <w:tcW w:type="dxa" w:w="1872"/>
          </w:tcPr>
          <w:p>
            <w:pPr>
              <w:spacing w:line="240" w:lineRule="auto"/>
            </w:pPr>
            <w:r>
              <w:rPr>
                <w:rFonts w:ascii="Arial" w:hAnsi="Arial"/>
                <w:b w:val="0"/>
                <w:sz w:val="17"/>
              </w:rPr>
              <w:t>46.5</w:t>
            </w:r>
          </w:p>
        </w:tc>
        <w:tc>
          <w:tcPr>
            <w:tcW w:type="dxa" w:w="1872"/>
          </w:tcPr>
          <w:p>
            <w:pPr>
              <w:spacing w:line="240" w:lineRule="auto"/>
            </w:pPr>
            <w:r>
              <w:rPr>
                <w:rFonts w:ascii="Arial" w:hAnsi="Arial"/>
                <w:b w:val="0"/>
                <w:sz w:val="17"/>
              </w:rPr>
              <w:t>46.2</w:t>
            </w:r>
          </w:p>
        </w:tc>
      </w:tr>
      <w:tr>
        <w:tc>
          <w:tcPr>
            <w:tcW w:type="dxa" w:w="1872"/>
          </w:tcPr>
          <w:p>
            <w:pPr>
              <w:spacing w:line="240" w:lineRule="auto"/>
            </w:pPr>
            <w:r>
              <w:rPr>
                <w:rFonts w:ascii="Arial" w:hAnsi="Arial"/>
                <w:b w:val="0"/>
                <w:sz w:val="17"/>
              </w:rPr>
              <w:t>Indigenous Americas</w:t>
            </w:r>
          </w:p>
        </w:tc>
        <w:tc>
          <w:tcPr>
            <w:tcW w:type="dxa" w:w="1872"/>
          </w:tcPr>
          <w:p>
            <w:pPr>
              <w:spacing w:line="240" w:lineRule="auto"/>
            </w:pPr>
            <w:r>
              <w:rPr>
                <w:rFonts w:ascii="Arial" w:hAnsi="Arial"/>
                <w:b w:val="0"/>
                <w:sz w:val="17"/>
              </w:rPr>
              <w:t>2</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c>
          <w:tcPr>
            <w:tcW w:type="dxa" w:w="1872"/>
          </w:tcPr>
          <w:p>
            <w:pPr>
              <w:spacing w:line="240" w:lineRule="auto"/>
            </w:pPr>
            <w:r>
              <w:rPr>
                <w:rFonts w:ascii="Arial" w:hAnsi="Arial"/>
                <w:b w:val="0"/>
                <w:sz w:val="17"/>
              </w:rPr>
              <w:t>0.0</w:t>
            </w:r>
          </w:p>
        </w:tc>
      </w:tr>
      <w:tr>
        <w:tc>
          <w:tcPr>
            <w:tcW w:type="dxa" w:w="1872"/>
          </w:tcPr>
          <w:p>
            <w:pPr>
              <w:spacing w:line="240" w:lineRule="auto"/>
            </w:pPr>
            <w:r>
              <w:rPr>
                <w:rFonts w:ascii="Arial" w:hAnsi="Arial"/>
                <w:b w:val="0"/>
                <w:sz w:val="17"/>
              </w:rPr>
              <w:t>Admixed Americas</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3.1</w:t>
            </w:r>
          </w:p>
        </w:tc>
        <w:tc>
          <w:tcPr>
            <w:tcW w:type="dxa" w:w="1872"/>
          </w:tcPr>
          <w:p>
            <w:pPr>
              <w:spacing w:line="240" w:lineRule="auto"/>
            </w:pPr>
            <w:r>
              <w:rPr>
                <w:rFonts w:ascii="Arial" w:hAnsi="Arial"/>
                <w:b w:val="0"/>
                <w:sz w:val="17"/>
              </w:rPr>
              <w:t>61.2</w:t>
            </w:r>
          </w:p>
        </w:tc>
        <w:tc>
          <w:tcPr>
            <w:tcW w:type="dxa" w:w="1872"/>
          </w:tcPr>
          <w:p>
            <w:pPr>
              <w:spacing w:line="240" w:lineRule="auto"/>
            </w:pPr>
            <w:r>
              <w:rPr>
                <w:rFonts w:ascii="Arial" w:hAnsi="Arial"/>
                <w:b w:val="0"/>
                <w:sz w:val="17"/>
              </w:rPr>
              <w:t>35.7</w:t>
            </w:r>
          </w:p>
        </w:tc>
      </w:tr>
      <w:tr>
        <w:tc>
          <w:tcPr>
            <w:tcW w:type="dxa" w:w="1872"/>
          </w:tcPr>
          <w:p>
            <w:pPr>
              <w:spacing w:line="240" w:lineRule="auto"/>
            </w:pPr>
            <w:r>
              <w:rPr>
                <w:rFonts w:ascii="Arial" w:hAnsi="Arial"/>
                <w:b w:val="0"/>
                <w:sz w:val="17"/>
              </w:rPr>
              <w:t>Central/South Asia</w:t>
            </w:r>
          </w:p>
        </w:tc>
        <w:tc>
          <w:tcPr>
            <w:tcW w:type="dxa" w:w="1872"/>
          </w:tcPr>
          <w:p>
            <w:pPr>
              <w:spacing w:line="240" w:lineRule="auto"/>
            </w:pPr>
            <w:r>
              <w:rPr>
                <w:rFonts w:ascii="Arial" w:hAnsi="Arial"/>
                <w:b w:val="0"/>
                <w:sz w:val="17"/>
              </w:rPr>
              <w:t>98</w:t>
            </w:r>
          </w:p>
        </w:tc>
        <w:tc>
          <w:tcPr>
            <w:tcW w:type="dxa" w:w="1872"/>
          </w:tcPr>
          <w:p>
            <w:pPr>
              <w:spacing w:line="240" w:lineRule="auto"/>
            </w:pPr>
            <w:r>
              <w:rPr>
                <w:rFonts w:ascii="Arial" w:hAnsi="Arial"/>
                <w:b w:val="0"/>
                <w:sz w:val="17"/>
              </w:rPr>
              <w:t>9.2</w:t>
            </w:r>
          </w:p>
        </w:tc>
        <w:tc>
          <w:tcPr>
            <w:tcW w:type="dxa" w:w="1872"/>
          </w:tcPr>
          <w:p>
            <w:pPr>
              <w:spacing w:line="240" w:lineRule="auto"/>
            </w:pPr>
            <w:r>
              <w:rPr>
                <w:rFonts w:ascii="Arial" w:hAnsi="Arial"/>
                <w:b w:val="0"/>
                <w:sz w:val="17"/>
              </w:rPr>
              <w:t>44.9</w:t>
            </w:r>
          </w:p>
        </w:tc>
        <w:tc>
          <w:tcPr>
            <w:tcW w:type="dxa" w:w="1872"/>
          </w:tcPr>
          <w:p>
            <w:pPr>
              <w:spacing w:line="240" w:lineRule="auto"/>
            </w:pPr>
            <w:r>
              <w:rPr>
                <w:rFonts w:ascii="Arial" w:hAnsi="Arial"/>
                <w:b w:val="0"/>
                <w:sz w:val="17"/>
              </w:rPr>
              <w:t>45.9</w:t>
            </w:r>
          </w:p>
        </w:tc>
      </w:tr>
      <w:tr>
        <w:tc>
          <w:tcPr>
            <w:tcW w:type="dxa" w:w="1872"/>
          </w:tcPr>
          <w:p>
            <w:pPr>
              <w:spacing w:line="240" w:lineRule="auto"/>
            </w:pPr>
            <w:r>
              <w:rPr>
                <w:rFonts w:ascii="Arial" w:hAnsi="Arial"/>
                <w:b w:val="0"/>
                <w:sz w:val="17"/>
              </w:rPr>
              <w:t>Middle East</w:t>
            </w:r>
          </w:p>
        </w:tc>
        <w:tc>
          <w:tcPr>
            <w:tcW w:type="dxa" w:w="1872"/>
          </w:tcPr>
          <w:p>
            <w:pPr>
              <w:spacing w:line="240" w:lineRule="auto"/>
            </w:pPr>
            <w:r>
              <w:rPr>
                <w:rFonts w:ascii="Arial" w:hAnsi="Arial"/>
                <w:b w:val="0"/>
                <w:sz w:val="17"/>
              </w:rPr>
              <w:t>44</w:t>
            </w:r>
          </w:p>
        </w:tc>
        <w:tc>
          <w:tcPr>
            <w:tcW w:type="dxa" w:w="1872"/>
          </w:tcPr>
          <w:p>
            <w:pPr>
              <w:spacing w:line="240" w:lineRule="auto"/>
            </w:pPr>
            <w:r>
              <w:rPr>
                <w:rFonts w:ascii="Arial" w:hAnsi="Arial"/>
                <w:b w:val="0"/>
                <w:sz w:val="17"/>
              </w:rPr>
              <w:t>11.4</w:t>
            </w:r>
          </w:p>
        </w:tc>
        <w:tc>
          <w:tcPr>
            <w:tcW w:type="dxa" w:w="1872"/>
          </w:tcPr>
          <w:p>
            <w:pPr>
              <w:spacing w:line="240" w:lineRule="auto"/>
            </w:pPr>
            <w:r>
              <w:rPr>
                <w:rFonts w:ascii="Arial" w:hAnsi="Arial"/>
                <w:b w:val="0"/>
                <w:sz w:val="17"/>
              </w:rPr>
              <w:t>52.3</w:t>
            </w:r>
          </w:p>
        </w:tc>
        <w:tc>
          <w:tcPr>
            <w:tcW w:type="dxa" w:w="1872"/>
          </w:tcPr>
          <w:p>
            <w:pPr>
              <w:spacing w:line="240" w:lineRule="auto"/>
            </w:pPr>
            <w:r>
              <w:rPr>
                <w:rFonts w:ascii="Arial" w:hAnsi="Arial"/>
                <w:b w:val="0"/>
                <w:sz w:val="17"/>
              </w:rPr>
              <w:t>36.4</w:t>
            </w:r>
          </w:p>
        </w:tc>
      </w:tr>
      <w:tr>
        <w:tc>
          <w:tcPr>
            <w:tcW w:type="dxa" w:w="1872"/>
          </w:tcPr>
          <w:p>
            <w:pPr>
              <w:spacing w:line="240" w:lineRule="auto"/>
            </w:pPr>
            <w:r>
              <w:rPr>
                <w:rFonts w:ascii="Arial" w:hAnsi="Arial"/>
                <w:b w:val="0"/>
                <w:sz w:val="17"/>
              </w:rPr>
              <w:t>Oceania</w:t>
            </w:r>
          </w:p>
        </w:tc>
        <w:tc>
          <w:tcPr>
            <w:tcW w:type="dxa" w:w="1872"/>
          </w:tcPr>
          <w:p>
            <w:pPr>
              <w:spacing w:line="240" w:lineRule="auto"/>
            </w:pPr>
            <w:r>
              <w:rPr>
                <w:rFonts w:ascii="Arial" w:hAnsi="Arial"/>
                <w:b w:val="0"/>
                <w:sz w:val="17"/>
              </w:rPr>
              <w:t>13</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0.0</w:t>
            </w:r>
          </w:p>
        </w:tc>
        <w:tc>
          <w:tcPr>
            <w:tcW w:type="dxa" w:w="1872"/>
          </w:tcPr>
          <w:p>
            <w:pPr>
              <w:spacing w:line="240" w:lineRule="auto"/>
            </w:pPr>
            <w:r>
              <w:rPr>
                <w:rFonts w:ascii="Arial" w:hAnsi="Arial"/>
                <w:b w:val="0"/>
                <w:sz w:val="17"/>
              </w:rPr>
              <w:t>100.0</w:t>
            </w:r>
          </w:p>
        </w:tc>
      </w:tr>
    </w:tbl>
    <w:p>
      <w:pPr>
        <w:spacing w:line="240" w:lineRule="auto"/>
      </w:pPr>
      <w:r>
        <w:rPr>
          <w:sz w:val="18"/>
        </w:rPr>
        <w:t>Note. Counts are classifiable segments, not individuals. Percentages use the three-reference denominator shown by n. Equal maximum-similarity ties are excluded from these percentages but retained in Supplementary Data. The 2/2 Indigenous American value is not a regional frequency estimate; only one segment overlaps ABO.</w:t>
      </w:r>
    </w:p>
    <w:p>
      <w:pPr>
        <w:pStyle w:val="Heading2"/>
      </w:pPr>
      <w:r>
        <w:t>Contextual and schematic displays</w:t>
      </w:r>
    </w:p>
    <w:p>
      <w:pPr>
        <w:ind w:firstLine="432"/>
      </w:pPr>
      <w:r>
        <w:rPr>
          <w:rFonts w:ascii="Times New Roman" w:hAnsi="Times New Roman"/>
          <w:i w:val="0"/>
          <w:sz w:val="24"/>
        </w:rPr>
        <w:t>Several contextual and schematic displays are provided as supplementary figures because they do not derive from the pairwise analysis. A Minard-style schematic places the analysis within broad dispersal and archaic-introgression contexts, with illustrative band widths and event placement (Figure S2). The O2-defining allele and ABO-window carrier summaries use different sources and are displayed descriptively rather than as an association analysis (Figure S3). An Ancient North Eurasian pathway is retained as a testable contextual hypothesis, not a route inferred from the two Indigenous American segment records (Figure S4). Ancient and modern ABO-window observations were produced by different pipelines and permit no formal temporal comparison (Figure S5). A bivariate global map summarising each population's mean Neanderthal and Denisovan segment coverage from the present profiles provides broad geographic context and was not used in the statistical models (Figure S6).</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ajhb-submission-2026-07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