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Editable Tables</w:t>
      </w:r>
    </w:p>
    <w:p>
      <w:pPr>
        <w:jc w:val="center"/>
      </w:pPr>
      <w:r>
        <w:t>Population structure, not special connections: a dependence-aware baseline for archaic-segment sharing across 66 human populations</w:t>
      </w:r>
    </w:p>
    <w:p>
      <w:pPr>
        <w:spacing w:before="280"/>
      </w:pPr>
      <w:r>
        <w:rPr>
          <w:b/>
        </w:rPr>
        <w:t>Table 1. Positive-residual Neanderthal pairs after false discovery rate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1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2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1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2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Distance (km)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Sharing (r)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z-score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qualifying pair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z&gt;2 and q&lt;0.10 result</w:t>
            </w:r>
          </w:p>
        </w:tc>
      </w:tr>
    </w:tbl>
    <w:p>
      <w:pPr>
        <w:spacing w:line="240" w:lineRule="auto"/>
      </w:pPr>
      <w:r>
        <w:rPr>
          <w:sz w:val="18"/>
        </w:rPr>
        <w:t>Note. The prespecified family contains all non-admixed population pairs. No pair met both z&gt;2 and Benjamini-Hochberg q&lt;0.10; the Denisovan analysis likewise identified no qualifying pair. Complete nominal rankings and dependence-aware model results are provided in Supplementary Data.</w:t>
      </w:r>
    </w:p>
    <w:p>
      <w:r>
        <w:br w:type="page"/>
      </w:r>
    </w:p>
    <w:p>
      <w:pPr>
        <w:spacing w:before="280"/>
      </w:pPr>
      <w:r>
        <w:rPr>
          <w:b/>
        </w:rPr>
        <w:t>Table 2.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872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