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Flow Disruption and State Collapse:</w:t>
        <w:br/>
        <w:t>A Sensitivity Analysis of Technical Maritime Bans</w:t>
        <w:br/>
        <w:t>in Historical National Power Dynamics</w:t>
      </w:r>
    </w:p>
    <w:p/>
    <w:p>
      <w:pPr>
        <w:jc w:val="center"/>
      </w:pPr>
      <w:r>
        <w:rPr>
          <w:sz w:val="22"/>
        </w:rPr>
        <w:t>[Author Name]</w:t>
        <w:br/>
        <w:t>[Affiliation]</w:t>
        <w:br/>
        <w:t>[Email]</w:t>
      </w:r>
    </w:p>
    <w:p/>
    <w:p/>
    <w:p>
      <w:pPr>
        <w:pStyle w:val="Heading2"/>
      </w:pPr>
      <w:r>
        <w:t>Abstract</w:t>
      </w:r>
    </w:p>
    <w:p>
      <w:r>
        <w:t>This study examines the relationship between international flow disruption and state collapse using a cross-historical dataset of 96 polities spanning six eras from antiquity to the present. We classify each polity by its dominant national power strategy (stock-based vs. flow-based) and its degree of closure from international networks. We introduce the concept of 'technical maritime ban'—passive closure resulting from geographic or technological constraints rather than deliberate policy—and reclassify seven polities accordingly. While the baseline association between maritime closure and conquest is not statistically significant (Fisher's exact test p = 0.187), reclassifying five strongly isolated polities renders it significant (p = 0.041), and including all seven candidates strengthens the result further (p = 0.020). All seven technically isolated polities were eventually conquered (100% conquest rate). Multivariate logistic regression confirms that external threat and institutional quality are the strongest predictors of conquest, while the stock/flow confusion matrix odds ratio (OR = 1.774) remains stable across all reclassification scenarios. These findings suggest that the consequences of closure derive from flow disruption itself rather than the intent behind closure policies.</w:t>
      </w:r>
    </w:p>
    <w:p>
      <w:r>
        <w:rPr>
          <w:b/>
        </w:rPr>
        <w:t xml:space="preserve">Keywords: </w:t>
      </w:r>
      <w:r>
        <w:t>economic history; maritime closure; stock-flow framework; state collapse; sensitivity analysis; cliometrics</w:t>
      </w:r>
    </w:p>
    <w:p>
      <w:r>
        <w:rPr>
          <w:b/>
        </w:rPr>
        <w:t xml:space="preserve">JEL Classification: </w:t>
      </w:r>
      <w:r>
        <w:t>N40, N70, F50, C12</w:t>
      </w:r>
    </w:p>
    <w:p>
      <w:r>
        <w:br w:type="page"/>
      </w:r>
    </w:p>
    <w:p>
      <w:pPr>
        <w:pStyle w:val="Heading1"/>
      </w:pPr>
      <w:r>
        <w:t>1  Introduction</w:t>
      </w:r>
    </w:p>
    <w:p>
      <w:r>
        <w:t>The role of international economic openness in determining the fate of states has been a central question in economic history and international political economy. From the maritime prohibitions (haijin) of Ming China to the sakoku policy of Tokugawa Japan, deliberate closure from international trade networks has frequently been associated with subsequent decline or conquest (Findlay and O'Rourke 2007). However, prior analyses have generally focused on intentional closure—policy choices made by ruling elites—while neglecting cases where isolation was imposed by geographic and technological constraints.</w:t>
      </w:r>
    </w:p>
    <w:p>
      <w:r>
        <w:t>This paper makes two contributions. First, we construct a cross-historical dataset of 96 polities spanning six eras (ancient, medieval, early modern, modern, 20th century, and contemporary) and classify each by its dominant national power strategy—stock-based (relying on accumulated assets such as human capital, institutions, and natural resources) versus flow-based (relying on trade, military projection, and diplomatic activity)—and by its closure type. Second, we introduce the concept of 'technical maritime ban': the passive isolation of polities for which no regular maritime routes existed during their period of activity. Unlike policy-based maritime bans, where elites deliberately restricted international flows, technical maritime bans represent involuntary exclusion from global networks due to geographic remoteness or technological limitations in maritime transport.</w:t>
      </w:r>
    </w:p>
    <w:p>
      <w:r>
        <w:t>We conduct a sensitivity analysis by reclassifying seven polities—five strong candidates and two moderate candidates—from the 'no closure' category to 'technical maritime ban.' This reclassification tests whether the observed association between closure and conquest is robust to how we define maritime isolation. The main finding is striking: the baseline non-significant association (p = 0.187) between maritime closure and conquest becomes significant upon reclassification (p = 0.020 with all seven candidates), while the core stock-flow odds ratio remains unchanged (OR = 1.774). This suggests that the mechanism driving the closure-conquest association is flow disruption per se, rather than the policy intent behind closure.</w:t>
      </w:r>
    </w:p>
    <w:p>
      <w:r>
        <w:t>The paper is organized as follows. Section 2 describes the dataset and the classification framework. Section 3 presents the main analytical methods. Section 4 reports the baseline results. Section 5 details the sensitivity analysis with technical maritime ban reclassification. Section 6 discusses implications and limitations, and Section 7 concludes.</w:t>
      </w:r>
    </w:p>
    <w:p>
      <w:pPr>
        <w:pStyle w:val="Heading1"/>
      </w:pPr>
      <w:r>
        <w:t>2  Data and Classification</w:t>
      </w:r>
    </w:p>
    <w:p>
      <w:pPr>
        <w:pStyle w:val="Heading2"/>
      </w:pPr>
      <w:r>
        <w:t>2.1  Dataset construction</w:t>
      </w:r>
    </w:p>
    <w:p>
      <w:r>
        <w:t>The dataset comprises 96 historical polities drawn from standard reference works in global history (Findlay and O'Rourke 2007; Kennedy 1987; Turchin 2009). Each polity is coded along multiple dimensions: dominant strategy (stock or flow), stock index (0–1), trade openness (0–1), closure type, outcome, geographic barrier, external threat level, relative population, technological position, institutional quality, regime duration, and presence of an external patron. The full dataset is provided in Supplementary Table S1.</w:t>
      </w:r>
    </w:p>
    <w:p>
      <w:r>
        <w:t>Of the 96 polities, 45 are classified as stock-dominant and 51 as flow-dominant. Outcomes are coded as overtaken (46 polities), disrupted (18), or survived (32). 'Overtaken' denotes conquest, colonization, or annexation by an external power. 'Disrupted' denotes regime collapse followed by reconstitution of the successor state (e.g., Tokugawa Japan → Meiji Japan). 'Survived' denotes continuity of both regime and statehood.</w:t>
      </w:r>
    </w:p>
    <w:p>
      <w:pPr>
        <w:pStyle w:val="Heading2"/>
      </w:pPr>
      <w:r>
        <w:t>2.2  Closure typology</w:t>
      </w:r>
    </w:p>
    <w:p>
      <w:r>
        <w:t>Closure types are classified into five categories: (1) maritime ban—deliberate restriction of maritime trade by policy (e.g., Ming haijin, Qing Canton system); (2) sakoku—near-total isolation by national decree (Tokugawa Japan, Joseon Korea); (3) bloc—closure within a geopolitical bloc (e.g., COMECON, autarky regimes); (4) technical maritime ban—passive isolation due to the absence of regular maritime routes; and (5) none—no significant closure.</w:t>
      </w:r>
    </w:p>
    <w:p>
      <w:pPr>
        <w:pStyle w:val="Heading2"/>
      </w:pPr>
      <w:r>
        <w:t>2.3  Technical maritime ban: definition and candidates</w:t>
      </w:r>
    </w:p>
    <w:p>
      <w:r>
        <w:t>We define a technical maritime ban as the condition in which no regular, scheduled maritime routes connected a polity to major trading networks during its period of existence. Unlike policy-based closures, where elites chose to restrict flows, technical maritime bans reflect the technological and geographic impossibility of regular maritime contact. The distinction parallels the difference between a locked door (policy ban) and the absence of a door (technical ban).</w:t>
      </w:r>
    </w:p>
    <w:p>
      <w:r>
        <w:t>We identify seven reclassification candidates in two tiers (Table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Polity</w:t>
            </w:r>
          </w:p>
        </w:tc>
        <w:tc>
          <w:tcPr>
            <w:tcW w:type="dxa" w:w="1881"/>
          </w:tcPr>
          <w:p>
            <w:r>
              <w:rPr>
                <w:b/>
                <w:sz w:val="20"/>
              </w:rPr>
              <w:t>Period</w:t>
            </w:r>
          </w:p>
        </w:tc>
        <w:tc>
          <w:tcPr>
            <w:tcW w:type="dxa" w:w="1881"/>
          </w:tcPr>
          <w:p>
            <w:r>
              <w:rPr>
                <w:b/>
                <w:sz w:val="20"/>
              </w:rPr>
              <w:t>Tier</w:t>
            </w:r>
          </w:p>
        </w:tc>
        <w:tc>
          <w:tcPr>
            <w:tcW w:type="dxa" w:w="1881"/>
          </w:tcPr>
          <w:p>
            <w:r>
              <w:rPr>
                <w:b/>
                <w:sz w:val="20"/>
              </w:rPr>
              <w:t>Original Closure</w:t>
            </w:r>
          </w:p>
        </w:tc>
        <w:tc>
          <w:tcPr>
            <w:tcW w:type="dxa" w:w="1881"/>
          </w:tcPr>
          <w:p>
            <w:r>
              <w:rPr>
                <w:b/>
                <w:sz w:val="20"/>
              </w:rPr>
              <w:t>Rationale</w:t>
            </w:r>
          </w:p>
        </w:tc>
      </w:tr>
      <w:tr>
        <w:tc>
          <w:tcPr>
            <w:tcW w:type="dxa" w:w="1881"/>
          </w:tcPr>
          <w:p>
            <w:r>
              <w:rPr>
                <w:sz w:val="18"/>
              </w:rPr>
              <w:t>Han Dynasty (China)</w:t>
            </w:r>
          </w:p>
        </w:tc>
        <w:tc>
          <w:tcPr>
            <w:tcW w:type="dxa" w:w="1881"/>
          </w:tcPr>
          <w:p>
            <w:r>
              <w:rPr>
                <w:sz w:val="18"/>
              </w:rPr>
              <w:t>BC206-AD220</w:t>
            </w:r>
          </w:p>
        </w:tc>
        <w:tc>
          <w:tcPr>
            <w:tcW w:type="dxa" w:w="1881"/>
          </w:tcPr>
          <w:p>
            <w:r>
              <w:rPr>
                <w:sz w:val="18"/>
              </w:rPr>
              <w:t>Strong</w:t>
            </w:r>
          </w:p>
        </w:tc>
        <w:tc>
          <w:tcPr>
            <w:tcW w:type="dxa" w:w="1881"/>
          </w:tcPr>
          <w:p>
            <w:r>
              <w:rPr>
                <w:sz w:val="18"/>
              </w:rPr>
              <w:t>None</w:t>
            </w:r>
          </w:p>
        </w:tc>
        <w:tc>
          <w:tcPr>
            <w:tcW w:type="dxa" w:w="1881"/>
          </w:tcPr>
          <w:p>
            <w:r>
              <w:rPr>
                <w:sz w:val="18"/>
              </w:rPr>
              <w:t>No regular sea route from Mediterranean. Silk Road overland only.</w:t>
            </w:r>
          </w:p>
        </w:tc>
      </w:tr>
      <w:tr>
        <w:tc>
          <w:tcPr>
            <w:tcW w:type="dxa" w:w="1881"/>
          </w:tcPr>
          <w:p>
            <w:r>
              <w:rPr>
                <w:sz w:val="18"/>
              </w:rPr>
              <w:t>Mali Empire</w:t>
            </w:r>
          </w:p>
        </w:tc>
        <w:tc>
          <w:tcPr>
            <w:tcW w:type="dxa" w:w="1881"/>
          </w:tcPr>
          <w:p>
            <w:r>
              <w:rPr>
                <w:sz w:val="18"/>
              </w:rPr>
              <w:t>AD1235-AD1600</w:t>
            </w:r>
          </w:p>
        </w:tc>
        <w:tc>
          <w:tcPr>
            <w:tcW w:type="dxa" w:w="1881"/>
          </w:tcPr>
          <w:p>
            <w:r>
              <w:rPr>
                <w:sz w:val="18"/>
              </w:rPr>
              <w:t>Strong</w:t>
            </w:r>
          </w:p>
        </w:tc>
        <w:tc>
          <w:tcPr>
            <w:tcW w:type="dxa" w:w="1881"/>
          </w:tcPr>
          <w:p>
            <w:r>
              <w:rPr>
                <w:sz w:val="18"/>
              </w:rPr>
              <w:t>None</w:t>
            </w:r>
          </w:p>
        </w:tc>
        <w:tc>
          <w:tcPr>
            <w:tcW w:type="dxa" w:w="1881"/>
          </w:tcPr>
          <w:p>
            <w:r>
              <w:rPr>
                <w:sz w:val="18"/>
              </w:rPr>
              <w:t>No Atlantic maritime route until Portuguese exploration (15th c.). Trans-Saharan caravan only.</w:t>
            </w:r>
          </w:p>
        </w:tc>
      </w:tr>
      <w:tr>
        <w:tc>
          <w:tcPr>
            <w:tcW w:type="dxa" w:w="1881"/>
          </w:tcPr>
          <w:p>
            <w:r>
              <w:rPr>
                <w:sz w:val="18"/>
              </w:rPr>
              <w:t>Khmer Empire (Angkor)</w:t>
            </w:r>
          </w:p>
        </w:tc>
        <w:tc>
          <w:tcPr>
            <w:tcW w:type="dxa" w:w="1881"/>
          </w:tcPr>
          <w:p>
            <w:r>
              <w:rPr>
                <w:sz w:val="18"/>
              </w:rPr>
              <w:t>AD802-AD1431</w:t>
            </w:r>
          </w:p>
        </w:tc>
        <w:tc>
          <w:tcPr>
            <w:tcW w:type="dxa" w:w="1881"/>
          </w:tcPr>
          <w:p>
            <w:r>
              <w:rPr>
                <w:sz w:val="18"/>
              </w:rPr>
              <w:t>Strong</w:t>
            </w:r>
          </w:p>
        </w:tc>
        <w:tc>
          <w:tcPr>
            <w:tcW w:type="dxa" w:w="1881"/>
          </w:tcPr>
          <w:p>
            <w:r>
              <w:rPr>
                <w:sz w:val="18"/>
              </w:rPr>
              <w:t>None</w:t>
            </w:r>
          </w:p>
        </w:tc>
        <w:tc>
          <w:tcPr>
            <w:tcW w:type="dxa" w:w="1881"/>
          </w:tcPr>
          <w:p>
            <w:r>
              <w:rPr>
                <w:sz w:val="18"/>
              </w:rPr>
              <w:t>Inland polity; no direct oceanic access unlike maritime Srivijaya.</w:t>
            </w:r>
          </w:p>
        </w:tc>
      </w:tr>
      <w:tr>
        <w:tc>
          <w:tcPr>
            <w:tcW w:type="dxa" w:w="1881"/>
          </w:tcPr>
          <w:p>
            <w:r>
              <w:rPr>
                <w:sz w:val="18"/>
              </w:rPr>
              <w:t>Kievan Rus'</w:t>
            </w:r>
          </w:p>
        </w:tc>
        <w:tc>
          <w:tcPr>
            <w:tcW w:type="dxa" w:w="1881"/>
          </w:tcPr>
          <w:p>
            <w:r>
              <w:rPr>
                <w:sz w:val="18"/>
              </w:rPr>
              <w:t>AD882-AD1240</w:t>
            </w:r>
          </w:p>
        </w:tc>
        <w:tc>
          <w:tcPr>
            <w:tcW w:type="dxa" w:w="1881"/>
          </w:tcPr>
          <w:p>
            <w:r>
              <w:rPr>
                <w:sz w:val="18"/>
              </w:rPr>
              <w:t>Strong</w:t>
            </w:r>
          </w:p>
        </w:tc>
        <w:tc>
          <w:tcPr>
            <w:tcW w:type="dxa" w:w="1881"/>
          </w:tcPr>
          <w:p>
            <w:r>
              <w:rPr>
                <w:sz w:val="18"/>
              </w:rPr>
              <w:t>None</w:t>
            </w:r>
          </w:p>
        </w:tc>
        <w:tc>
          <w:tcPr>
            <w:tcW w:type="dxa" w:w="1881"/>
          </w:tcPr>
          <w:p>
            <w:r>
              <w:rPr>
                <w:sz w:val="18"/>
              </w:rPr>
              <w:t>Dnieper river trade (Varangian route); no regular oceanic routes.</w:t>
            </w:r>
          </w:p>
        </w:tc>
      </w:tr>
      <w:tr>
        <w:tc>
          <w:tcPr>
            <w:tcW w:type="dxa" w:w="1881"/>
          </w:tcPr>
          <w:p>
            <w:r>
              <w:rPr>
                <w:sz w:val="18"/>
              </w:rPr>
              <w:t>Timurid Empire</w:t>
            </w:r>
          </w:p>
        </w:tc>
        <w:tc>
          <w:tcPr>
            <w:tcW w:type="dxa" w:w="1881"/>
          </w:tcPr>
          <w:p>
            <w:r>
              <w:rPr>
                <w:sz w:val="18"/>
              </w:rPr>
              <w:t>AD1370-AD1507</w:t>
            </w:r>
          </w:p>
        </w:tc>
        <w:tc>
          <w:tcPr>
            <w:tcW w:type="dxa" w:w="1881"/>
          </w:tcPr>
          <w:p>
            <w:r>
              <w:rPr>
                <w:sz w:val="18"/>
              </w:rPr>
              <w:t>Strong</w:t>
            </w:r>
          </w:p>
        </w:tc>
        <w:tc>
          <w:tcPr>
            <w:tcW w:type="dxa" w:w="1881"/>
          </w:tcPr>
          <w:p>
            <w:r>
              <w:rPr>
                <w:sz w:val="18"/>
              </w:rPr>
              <w:t>None</w:t>
            </w:r>
          </w:p>
        </w:tc>
        <w:tc>
          <w:tcPr>
            <w:tcW w:type="dxa" w:w="1881"/>
          </w:tcPr>
          <w:p>
            <w:r>
              <w:rPr>
                <w:sz w:val="18"/>
              </w:rPr>
              <w:t>Completely landlocked; no maritime access. Silk Road overland only.</w:t>
            </w:r>
          </w:p>
        </w:tc>
      </w:tr>
      <w:tr>
        <w:tc>
          <w:tcPr>
            <w:tcW w:type="dxa" w:w="1881"/>
          </w:tcPr>
          <w:p>
            <w:r>
              <w:rPr>
                <w:sz w:val="18"/>
              </w:rPr>
              <w:t>Sasanian Persia</w:t>
            </w:r>
          </w:p>
        </w:tc>
        <w:tc>
          <w:tcPr>
            <w:tcW w:type="dxa" w:w="1881"/>
          </w:tcPr>
          <w:p>
            <w:r>
              <w:rPr>
                <w:sz w:val="18"/>
              </w:rPr>
              <w:t>AD224-AD651</w:t>
            </w:r>
          </w:p>
        </w:tc>
        <w:tc>
          <w:tcPr>
            <w:tcW w:type="dxa" w:w="1881"/>
          </w:tcPr>
          <w:p>
            <w:r>
              <w:rPr>
                <w:sz w:val="18"/>
              </w:rPr>
              <w:t>Moderate</w:t>
            </w:r>
          </w:p>
        </w:tc>
        <w:tc>
          <w:tcPr>
            <w:tcW w:type="dxa" w:w="1881"/>
          </w:tcPr>
          <w:p>
            <w:r>
              <w:rPr>
                <w:sz w:val="18"/>
              </w:rPr>
              <w:t>None</w:t>
            </w:r>
          </w:p>
        </w:tc>
        <w:tc>
          <w:tcPr>
            <w:tcW w:type="dxa" w:w="1881"/>
          </w:tcPr>
          <w:p>
            <w:r>
              <w:rPr>
                <w:sz w:val="18"/>
              </w:rPr>
              <w:t>Limited Persian Gulf trade; no regular Indian Ocean/Mediterranean sea routes established.</w:t>
            </w:r>
          </w:p>
        </w:tc>
      </w:tr>
      <w:tr>
        <w:tc>
          <w:tcPr>
            <w:tcW w:type="dxa" w:w="1881"/>
          </w:tcPr>
          <w:p>
            <w:r>
              <w:rPr>
                <w:sz w:val="18"/>
              </w:rPr>
              <w:t>Konbaung Burma</w:t>
            </w:r>
          </w:p>
        </w:tc>
        <w:tc>
          <w:tcPr>
            <w:tcW w:type="dxa" w:w="1881"/>
          </w:tcPr>
          <w:p>
            <w:r>
              <w:rPr>
                <w:sz w:val="18"/>
              </w:rPr>
              <w:t>AD1752-AD1885</w:t>
            </w:r>
          </w:p>
        </w:tc>
        <w:tc>
          <w:tcPr>
            <w:tcW w:type="dxa" w:w="1881"/>
          </w:tcPr>
          <w:p>
            <w:r>
              <w:rPr>
                <w:sz w:val="18"/>
              </w:rPr>
              <w:t>Moderate</w:t>
            </w:r>
          </w:p>
        </w:tc>
        <w:tc>
          <w:tcPr>
            <w:tcW w:type="dxa" w:w="1881"/>
          </w:tcPr>
          <w:p>
            <w:r>
              <w:rPr>
                <w:sz w:val="18"/>
              </w:rPr>
              <w:t>None</w:t>
            </w:r>
          </w:p>
        </w:tc>
        <w:tc>
          <w:tcPr>
            <w:tcW w:type="dxa" w:w="1881"/>
          </w:tcPr>
          <w:p>
            <w:r>
              <w:rPr>
                <w:sz w:val="18"/>
              </w:rPr>
              <w:t>Coastal access existed but no regular international sea routes until British arrival.</w:t>
            </w:r>
          </w:p>
        </w:tc>
      </w:tr>
    </w:tbl>
    <w:p>
      <w:r>
        <w:rPr>
          <w:b/>
          <w:sz w:val="20"/>
        </w:rPr>
        <w:t xml:space="preserve">Table 1  </w:t>
      </w:r>
      <w:r>
        <w:rPr>
          <w:sz w:val="20"/>
        </w:rPr>
        <w:t>Technical maritime ban reclassification candidates. 'Strong' candidates had no regular maritime routes; 'Moderate' candidates had limited or uncertain maritime connectivity.</w:t>
      </w:r>
    </w:p>
    <w:p>
      <w:pPr>
        <w:pStyle w:val="Heading1"/>
      </w:pPr>
      <w:r>
        <w:t>3  Methods</w:t>
      </w:r>
    </w:p>
    <w:p>
      <w:pPr>
        <w:pStyle w:val="Heading2"/>
      </w:pPr>
      <w:r>
        <w:t>3.1  Outcome binarization</w:t>
      </w:r>
    </w:p>
    <w:p>
      <w:r>
        <w:t>Because the three-category outcome (overtaken, disrupted, survived) creates ambiguity in binary statistical tests, we employ a dual-assignment sensitivity approach. In the 'disrupted → overtaken' scenario, all 18 disrupted polities are treated as conquered (total conquered = 64, survived = 32). In the 'disrupted → survived' scenario, they are treated as having survived (total conquered = 46, survived = 50). All subsequent analyses are reported under both assignments, yielding 3 × 2 = 6 scenarios (three closure reclassification levels × two disrupted assignments).</w:t>
      </w:r>
    </w:p>
    <w:p>
      <w:pPr>
        <w:pStyle w:val="Heading2"/>
      </w:pPr>
      <w:r>
        <w:t>3.2  Confusion matrix and association tests</w:t>
      </w:r>
    </w:p>
    <w:p>
      <w:r>
        <w:t>We construct 2 × 2 confusion matrices crossing the dominant strategy (stock vs. flow) with the binarized outcome (overtaken vs. survived). We compute the odds ratio (OR), phi coefficient (φ), Fisher's exact test (one-sided, testing whether stock dominance is associated with higher conquest risk), and chi-squared test with Yates correction. Effect sizes follow Cohen's conventions for φ.</w:t>
      </w:r>
    </w:p>
    <w:p>
      <w:pPr>
        <w:pStyle w:val="Heading2"/>
      </w:pPr>
      <w:r>
        <w:t>3.3  Closure-conquest association</w:t>
      </w:r>
    </w:p>
    <w:p>
      <w:r>
        <w:t>For the maritime closure analysis, we construct 2 × 2 tables crossing closure status (any maritime closure vs. none) with the binarized outcome. Maritime closure includes policy-based maritime bans, sakoku, and (after reclassification) technical maritime bans. We compute conquest rates, risk ratios (RR), risk differences (RD), and Fisher's exact test p-values for each of the six scenarios.</w:t>
      </w:r>
    </w:p>
    <w:p>
      <w:pPr>
        <w:pStyle w:val="Heading2"/>
      </w:pPr>
      <w:r>
        <w:t>3.4  Multivariate logistic regression</w:t>
      </w:r>
    </w:p>
    <w:p>
      <w:r>
        <w:t>To control for potential confounders, we fit multivariate logistic regression models with the binarized outcome as the dependent variable and the following covariates: stock-dominant dummy, geographic barrier, external threat level, technological position, institutional quality, era code, external patron dummy, and a maritime closure dummy. We report odds ratios with 95% confidence intervals.</w:t>
      </w:r>
    </w:p>
    <w:p>
      <w:pPr>
        <w:pStyle w:val="Heading2"/>
      </w:pPr>
      <w:r>
        <w:t>3.5  Bootstrap validation</w:t>
      </w:r>
    </w:p>
    <w:p>
      <w:r>
        <w:t>We validate the confusion-matrix OR using a nonparametric bootstrap with 5,000 resamples (percentile method, seed = 42). This provides a distribution-free confidence interval that does not rely on the asymptotic normality assumption.</w:t>
      </w:r>
    </w:p>
    <w:p>
      <w:pPr>
        <w:pStyle w:val="Heading1"/>
      </w:pPr>
      <w:r>
        <w:t>4  Results</w:t>
      </w:r>
    </w:p>
    <w:p>
      <w:pPr>
        <w:pStyle w:val="Heading2"/>
      </w:pPr>
      <w:r>
        <w:t>4.1  Baseline confusion matrix</w:t>
      </w:r>
    </w:p>
    <w:p>
      <w:r>
        <w:t>Under the disrupted → overtaken assignment, the confusion matrix yields OR = 1.774, φ = 0.133, Fisher's exact p = 0.1390 (one-sided). Stock-dominant polities have a conquest rate of 73.3%, compared with 60.8% for flow-dominant polities. The effect size is small-to-medium by Cohen's conventions. Under the disrupted → survived assignment, the OR reverses (OR = 0.650), indicating that the stock-flow association is sensitive to how disrupted polities are classified.</w:t>
      </w:r>
    </w:p>
    <w:p>
      <w:pPr>
        <w:pStyle w:val="Heading2"/>
      </w:pPr>
      <w:r>
        <w:t>4.2  Maritime closure and conquest</w:t>
      </w:r>
    </w:p>
    <w:p>
      <w:r>
        <w:t>Table 2 summarizes the maritime closure analysis across all six scenarios. At baseline (disrupted → overtaken), maritime closure polities have a conquest rate of 80.0% versus 64.2% for open polities (Fisher p = 0.1873). Reclassifying five strong candidates raises the closure conquest rate to 85.0% (Fisher p = 0.0413). Including all seven candidates further strengthens the result: conquest rate = 86.4%, Fisher p = 0.0204 (Fig. 1, Fig.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8"/>
              </w:rPr>
              <w:t>Disrupted As</w:t>
            </w:r>
          </w:p>
        </w:tc>
        <w:tc>
          <w:tcPr>
            <w:tcW w:type="dxa" w:w="1176"/>
          </w:tcPr>
          <w:p>
            <w:r>
              <w:rPr>
                <w:b/>
                <w:sz w:val="18"/>
              </w:rPr>
              <w:t>Reclassification</w:t>
            </w:r>
          </w:p>
        </w:tc>
        <w:tc>
          <w:tcPr>
            <w:tcW w:type="dxa" w:w="1176"/>
          </w:tcPr>
          <w:p>
            <w:r>
              <w:rPr>
                <w:b/>
                <w:sz w:val="18"/>
              </w:rPr>
              <w:t>Closure n</w:t>
            </w:r>
          </w:p>
        </w:tc>
        <w:tc>
          <w:tcPr>
            <w:tcW w:type="dxa" w:w="1176"/>
          </w:tcPr>
          <w:p>
            <w:r>
              <w:rPr>
                <w:b/>
                <w:sz w:val="18"/>
              </w:rPr>
              <w:t>Closure Rate</w:t>
            </w:r>
          </w:p>
        </w:tc>
        <w:tc>
          <w:tcPr>
            <w:tcW w:type="dxa" w:w="1176"/>
          </w:tcPr>
          <w:p>
            <w:r>
              <w:rPr>
                <w:b/>
                <w:sz w:val="18"/>
              </w:rPr>
              <w:t>Open Rate</w:t>
            </w:r>
          </w:p>
        </w:tc>
        <w:tc>
          <w:tcPr>
            <w:tcW w:type="dxa" w:w="1176"/>
          </w:tcPr>
          <w:p>
            <w:r>
              <w:rPr>
                <w:b/>
                <w:sz w:val="18"/>
              </w:rPr>
              <w:t>RR</w:t>
            </w:r>
          </w:p>
        </w:tc>
        <w:tc>
          <w:tcPr>
            <w:tcW w:type="dxa" w:w="1176"/>
          </w:tcPr>
          <w:p>
            <w:r>
              <w:rPr>
                <w:b/>
                <w:sz w:val="18"/>
              </w:rPr>
              <w:t>Fisher p</w:t>
            </w:r>
          </w:p>
        </w:tc>
        <w:tc>
          <w:tcPr>
            <w:tcW w:type="dxa" w:w="1176"/>
          </w:tcPr>
          <w:p>
            <w:r>
              <w:rPr>
                <w:b/>
                <w:sz w:val="18"/>
              </w:rPr>
              <w:t>Sig.</w:t>
            </w:r>
          </w:p>
        </w:tc>
      </w:tr>
      <w:tr>
        <w:tc>
          <w:tcPr>
            <w:tcW w:type="dxa" w:w="1176"/>
          </w:tcPr>
          <w:p>
            <w:r>
              <w:rPr>
                <w:sz w:val="18"/>
              </w:rPr>
              <w:t>Overtaken</w:t>
            </w:r>
          </w:p>
        </w:tc>
        <w:tc>
          <w:tcPr>
            <w:tcW w:type="dxa" w:w="1176"/>
          </w:tcPr>
          <w:p>
            <w:r>
              <w:rPr>
                <w:sz w:val="18"/>
              </w:rPr>
              <w:t>Baseline</w:t>
            </w:r>
          </w:p>
        </w:tc>
        <w:tc>
          <w:tcPr>
            <w:tcW w:type="dxa" w:w="1176"/>
          </w:tcPr>
          <w:p>
            <w:r>
              <w:rPr>
                <w:sz w:val="18"/>
              </w:rPr>
              <w:t>15</w:t>
            </w:r>
          </w:p>
        </w:tc>
        <w:tc>
          <w:tcPr>
            <w:tcW w:type="dxa" w:w="1176"/>
          </w:tcPr>
          <w:p>
            <w:r>
              <w:rPr>
                <w:sz w:val="18"/>
              </w:rPr>
              <w:t>80.0%</w:t>
            </w:r>
          </w:p>
        </w:tc>
        <w:tc>
          <w:tcPr>
            <w:tcW w:type="dxa" w:w="1176"/>
          </w:tcPr>
          <w:p>
            <w:r>
              <w:rPr>
                <w:sz w:val="18"/>
              </w:rPr>
              <w:t>64.2%</w:t>
            </w:r>
          </w:p>
        </w:tc>
        <w:tc>
          <w:tcPr>
            <w:tcW w:type="dxa" w:w="1176"/>
          </w:tcPr>
          <w:p>
            <w:r>
              <w:rPr>
                <w:sz w:val="18"/>
              </w:rPr>
              <w:t>1.246</w:t>
            </w:r>
          </w:p>
        </w:tc>
        <w:tc>
          <w:tcPr>
            <w:tcW w:type="dxa" w:w="1176"/>
          </w:tcPr>
          <w:p>
            <w:r>
              <w:rPr>
                <w:sz w:val="18"/>
              </w:rPr>
              <w:t>0.1873</w:t>
            </w:r>
          </w:p>
        </w:tc>
        <w:tc>
          <w:tcPr>
            <w:tcW w:type="dxa" w:w="1176"/>
          </w:tcPr>
          <w:p>
            <w:r>
              <w:rPr>
                <w:sz w:val="18"/>
              </w:rPr>
            </w:r>
          </w:p>
        </w:tc>
      </w:tr>
      <w:tr>
        <w:tc>
          <w:tcPr>
            <w:tcW w:type="dxa" w:w="1176"/>
          </w:tcPr>
          <w:p>
            <w:r>
              <w:rPr>
                <w:sz w:val="18"/>
              </w:rPr>
              <w:t>Overtaken</w:t>
            </w:r>
          </w:p>
        </w:tc>
        <w:tc>
          <w:tcPr>
            <w:tcW w:type="dxa" w:w="1176"/>
          </w:tcPr>
          <w:p>
            <w:r>
              <w:rPr>
                <w:sz w:val="18"/>
              </w:rPr>
              <w:t>+5 Strong</w:t>
            </w:r>
          </w:p>
        </w:tc>
        <w:tc>
          <w:tcPr>
            <w:tcW w:type="dxa" w:w="1176"/>
          </w:tcPr>
          <w:p>
            <w:r>
              <w:rPr>
                <w:sz w:val="18"/>
              </w:rPr>
              <w:t>20</w:t>
            </w:r>
          </w:p>
        </w:tc>
        <w:tc>
          <w:tcPr>
            <w:tcW w:type="dxa" w:w="1176"/>
          </w:tcPr>
          <w:p>
            <w:r>
              <w:rPr>
                <w:sz w:val="18"/>
              </w:rPr>
              <w:t>85.0%</w:t>
            </w:r>
          </w:p>
        </w:tc>
        <w:tc>
          <w:tcPr>
            <w:tcW w:type="dxa" w:w="1176"/>
          </w:tcPr>
          <w:p>
            <w:r>
              <w:rPr>
                <w:sz w:val="18"/>
              </w:rPr>
              <w:t>61.8%</w:t>
            </w:r>
          </w:p>
        </w:tc>
        <w:tc>
          <w:tcPr>
            <w:tcW w:type="dxa" w:w="1176"/>
          </w:tcPr>
          <w:p>
            <w:r>
              <w:rPr>
                <w:sz w:val="18"/>
              </w:rPr>
              <w:t>1.374</w:t>
            </w:r>
          </w:p>
        </w:tc>
        <w:tc>
          <w:tcPr>
            <w:tcW w:type="dxa" w:w="1176"/>
          </w:tcPr>
          <w:p>
            <w:r>
              <w:rPr>
                <w:sz w:val="18"/>
              </w:rPr>
              <w:t>0.0413</w:t>
            </w:r>
          </w:p>
        </w:tc>
        <w:tc>
          <w:tcPr>
            <w:tcW w:type="dxa" w:w="1176"/>
          </w:tcPr>
          <w:p>
            <w:r>
              <w:rPr>
                <w:sz w:val="18"/>
              </w:rPr>
              <w:t>*</w:t>
            </w:r>
          </w:p>
        </w:tc>
      </w:tr>
      <w:tr>
        <w:tc>
          <w:tcPr>
            <w:tcW w:type="dxa" w:w="1176"/>
          </w:tcPr>
          <w:p>
            <w:r>
              <w:rPr>
                <w:sz w:val="18"/>
              </w:rPr>
              <w:t>Overtaken</w:t>
            </w:r>
          </w:p>
        </w:tc>
        <w:tc>
          <w:tcPr>
            <w:tcW w:type="dxa" w:w="1176"/>
          </w:tcPr>
          <w:p>
            <w:r>
              <w:rPr>
                <w:sz w:val="18"/>
              </w:rPr>
              <w:t>+7 All</w:t>
            </w:r>
          </w:p>
        </w:tc>
        <w:tc>
          <w:tcPr>
            <w:tcW w:type="dxa" w:w="1176"/>
          </w:tcPr>
          <w:p>
            <w:r>
              <w:rPr>
                <w:sz w:val="18"/>
              </w:rPr>
              <w:t>22</w:t>
            </w:r>
          </w:p>
        </w:tc>
        <w:tc>
          <w:tcPr>
            <w:tcW w:type="dxa" w:w="1176"/>
          </w:tcPr>
          <w:p>
            <w:r>
              <w:rPr>
                <w:sz w:val="18"/>
              </w:rPr>
              <w:t>86.4%</w:t>
            </w:r>
          </w:p>
        </w:tc>
        <w:tc>
          <w:tcPr>
            <w:tcW w:type="dxa" w:w="1176"/>
          </w:tcPr>
          <w:p>
            <w:r>
              <w:rPr>
                <w:sz w:val="18"/>
              </w:rPr>
              <w:t>60.8%</w:t>
            </w:r>
          </w:p>
        </w:tc>
        <w:tc>
          <w:tcPr>
            <w:tcW w:type="dxa" w:w="1176"/>
          </w:tcPr>
          <w:p>
            <w:r>
              <w:rPr>
                <w:sz w:val="18"/>
              </w:rPr>
              <w:t>1.420</w:t>
            </w:r>
          </w:p>
        </w:tc>
        <w:tc>
          <w:tcPr>
            <w:tcW w:type="dxa" w:w="1176"/>
          </w:tcPr>
          <w:p>
            <w:r>
              <w:rPr>
                <w:sz w:val="18"/>
              </w:rPr>
              <w:t>0.0204</w:t>
            </w:r>
          </w:p>
        </w:tc>
        <w:tc>
          <w:tcPr>
            <w:tcW w:type="dxa" w:w="1176"/>
          </w:tcPr>
          <w:p>
            <w:r>
              <w:rPr>
                <w:sz w:val="18"/>
              </w:rPr>
              <w:t>*</w:t>
            </w:r>
          </w:p>
        </w:tc>
      </w:tr>
      <w:tr>
        <w:tc>
          <w:tcPr>
            <w:tcW w:type="dxa" w:w="1176"/>
          </w:tcPr>
          <w:p>
            <w:r>
              <w:rPr>
                <w:sz w:val="18"/>
              </w:rPr>
              <w:t>Survived</w:t>
            </w:r>
          </w:p>
        </w:tc>
        <w:tc>
          <w:tcPr>
            <w:tcW w:type="dxa" w:w="1176"/>
          </w:tcPr>
          <w:p>
            <w:r>
              <w:rPr>
                <w:sz w:val="18"/>
              </w:rPr>
              <w:t>Baseline</w:t>
            </w:r>
          </w:p>
        </w:tc>
        <w:tc>
          <w:tcPr>
            <w:tcW w:type="dxa" w:w="1176"/>
          </w:tcPr>
          <w:p>
            <w:r>
              <w:rPr>
                <w:sz w:val="18"/>
              </w:rPr>
              <w:t>15</w:t>
            </w:r>
          </w:p>
        </w:tc>
        <w:tc>
          <w:tcPr>
            <w:tcW w:type="dxa" w:w="1176"/>
          </w:tcPr>
          <w:p>
            <w:r>
              <w:rPr>
                <w:sz w:val="18"/>
              </w:rPr>
              <w:t>66.7%</w:t>
            </w:r>
          </w:p>
        </w:tc>
        <w:tc>
          <w:tcPr>
            <w:tcW w:type="dxa" w:w="1176"/>
          </w:tcPr>
          <w:p>
            <w:r>
              <w:rPr>
                <w:sz w:val="18"/>
              </w:rPr>
              <w:t>44.4%</w:t>
            </w:r>
          </w:p>
        </w:tc>
        <w:tc>
          <w:tcPr>
            <w:tcW w:type="dxa" w:w="1176"/>
          </w:tcPr>
          <w:p>
            <w:r>
              <w:rPr>
                <w:sz w:val="18"/>
              </w:rPr>
              <w:t>1.500</w:t>
            </w:r>
          </w:p>
        </w:tc>
        <w:tc>
          <w:tcPr>
            <w:tcW w:type="dxa" w:w="1176"/>
          </w:tcPr>
          <w:p>
            <w:r>
              <w:rPr>
                <w:sz w:val="18"/>
              </w:rPr>
              <w:t>0.0964</w:t>
            </w:r>
          </w:p>
        </w:tc>
        <w:tc>
          <w:tcPr>
            <w:tcW w:type="dxa" w:w="1176"/>
          </w:tcPr>
          <w:p>
            <w:r>
              <w:rPr>
                <w:sz w:val="18"/>
              </w:rPr>
            </w:r>
          </w:p>
        </w:tc>
      </w:tr>
      <w:tr>
        <w:tc>
          <w:tcPr>
            <w:tcW w:type="dxa" w:w="1176"/>
          </w:tcPr>
          <w:p>
            <w:r>
              <w:rPr>
                <w:sz w:val="18"/>
              </w:rPr>
              <w:t>Survived</w:t>
            </w:r>
          </w:p>
        </w:tc>
        <w:tc>
          <w:tcPr>
            <w:tcW w:type="dxa" w:w="1176"/>
          </w:tcPr>
          <w:p>
            <w:r>
              <w:rPr>
                <w:sz w:val="18"/>
              </w:rPr>
              <w:t>+5 Strong</w:t>
            </w:r>
          </w:p>
        </w:tc>
        <w:tc>
          <w:tcPr>
            <w:tcW w:type="dxa" w:w="1176"/>
          </w:tcPr>
          <w:p>
            <w:r>
              <w:rPr>
                <w:sz w:val="18"/>
              </w:rPr>
              <w:t>20</w:t>
            </w:r>
          </w:p>
        </w:tc>
        <w:tc>
          <w:tcPr>
            <w:tcW w:type="dxa" w:w="1176"/>
          </w:tcPr>
          <w:p>
            <w:r>
              <w:rPr>
                <w:sz w:val="18"/>
              </w:rPr>
              <w:t>75.0%</w:t>
            </w:r>
          </w:p>
        </w:tc>
        <w:tc>
          <w:tcPr>
            <w:tcW w:type="dxa" w:w="1176"/>
          </w:tcPr>
          <w:p>
            <w:r>
              <w:rPr>
                <w:sz w:val="18"/>
              </w:rPr>
              <w:t>40.8%</w:t>
            </w:r>
          </w:p>
        </w:tc>
        <w:tc>
          <w:tcPr>
            <w:tcW w:type="dxa" w:w="1176"/>
          </w:tcPr>
          <w:p>
            <w:r>
              <w:rPr>
                <w:sz w:val="18"/>
              </w:rPr>
              <w:t>1.839</w:t>
            </w:r>
          </w:p>
        </w:tc>
        <w:tc>
          <w:tcPr>
            <w:tcW w:type="dxa" w:w="1176"/>
          </w:tcPr>
          <w:p>
            <w:r>
              <w:rPr>
                <w:sz w:val="18"/>
              </w:rPr>
              <w:t>0.0062</w:t>
            </w:r>
          </w:p>
        </w:tc>
        <w:tc>
          <w:tcPr>
            <w:tcW w:type="dxa" w:w="1176"/>
          </w:tcPr>
          <w:p>
            <w:r>
              <w:rPr>
                <w:sz w:val="18"/>
              </w:rPr>
              <w:t>*</w:t>
            </w:r>
          </w:p>
        </w:tc>
      </w:tr>
      <w:tr>
        <w:tc>
          <w:tcPr>
            <w:tcW w:type="dxa" w:w="1176"/>
          </w:tcPr>
          <w:p>
            <w:r>
              <w:rPr>
                <w:sz w:val="18"/>
              </w:rPr>
              <w:t>Survived</w:t>
            </w:r>
          </w:p>
        </w:tc>
        <w:tc>
          <w:tcPr>
            <w:tcW w:type="dxa" w:w="1176"/>
          </w:tcPr>
          <w:p>
            <w:r>
              <w:rPr>
                <w:sz w:val="18"/>
              </w:rPr>
              <w:t>+7 All</w:t>
            </w:r>
          </w:p>
        </w:tc>
        <w:tc>
          <w:tcPr>
            <w:tcW w:type="dxa" w:w="1176"/>
          </w:tcPr>
          <w:p>
            <w:r>
              <w:rPr>
                <w:sz w:val="18"/>
              </w:rPr>
              <w:t>22</w:t>
            </w:r>
          </w:p>
        </w:tc>
        <w:tc>
          <w:tcPr>
            <w:tcW w:type="dxa" w:w="1176"/>
          </w:tcPr>
          <w:p>
            <w:r>
              <w:rPr>
                <w:sz w:val="18"/>
              </w:rPr>
              <w:t>77.3%</w:t>
            </w:r>
          </w:p>
        </w:tc>
        <w:tc>
          <w:tcPr>
            <w:tcW w:type="dxa" w:w="1176"/>
          </w:tcPr>
          <w:p>
            <w:r>
              <w:rPr>
                <w:sz w:val="18"/>
              </w:rPr>
              <w:t>39.2%</w:t>
            </w:r>
          </w:p>
        </w:tc>
        <w:tc>
          <w:tcPr>
            <w:tcW w:type="dxa" w:w="1176"/>
          </w:tcPr>
          <w:p>
            <w:r>
              <w:rPr>
                <w:sz w:val="18"/>
              </w:rPr>
              <w:t>1.972</w:t>
            </w:r>
          </w:p>
        </w:tc>
        <w:tc>
          <w:tcPr>
            <w:tcW w:type="dxa" w:w="1176"/>
          </w:tcPr>
          <w:p>
            <w:r>
              <w:rPr>
                <w:sz w:val="18"/>
              </w:rPr>
              <w:t>0.0017</w:t>
            </w:r>
          </w:p>
        </w:tc>
        <w:tc>
          <w:tcPr>
            <w:tcW w:type="dxa" w:w="1176"/>
          </w:tcPr>
          <w:p>
            <w:r>
              <w:rPr>
                <w:sz w:val="18"/>
              </w:rPr>
              <w:t>*</w:t>
            </w:r>
          </w:p>
        </w:tc>
      </w:tr>
    </w:tbl>
    <w:p>
      <w:r>
        <w:rPr>
          <w:b/>
          <w:sz w:val="20"/>
        </w:rPr>
        <w:t xml:space="preserve">Table 2  </w:t>
      </w:r>
      <w:r>
        <w:rPr>
          <w:sz w:val="20"/>
        </w:rPr>
        <w:t>Maritime closure and conquest across six scenarios. * p &lt; 0.05.</w:t>
      </w:r>
    </w:p>
    <w:p>
      <w:r>
        <w:drawing>
          <wp:inline xmlns:a="http://schemas.openxmlformats.org/drawingml/2006/main" xmlns:pic="http://schemas.openxmlformats.org/drawingml/2006/picture">
            <wp:extent cx="5486400" cy="228215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2158"/>
                    </a:xfrm>
                    <a:prstGeom prst="rect"/>
                  </pic:spPr>
                </pic:pic>
              </a:graphicData>
            </a:graphic>
          </wp:inline>
        </w:drawing>
      </w:r>
    </w:p>
    <w:p>
      <w:r>
        <w:rPr>
          <w:b/>
          <w:sz w:val="20"/>
        </w:rPr>
        <w:t xml:space="preserve">Fig. 1  </w:t>
      </w:r>
      <w:r>
        <w:rPr>
          <w:sz w:val="20"/>
        </w:rPr>
        <w:t>Conquest rates comparing maritime closure vs. no closure polities across three reclassification scenarios under both disrupted assignments.</w:t>
      </w:r>
    </w:p>
    <w:p>
      <w:r>
        <w:drawing>
          <wp:inline xmlns:a="http://schemas.openxmlformats.org/drawingml/2006/main" xmlns:pic="http://schemas.openxmlformats.org/drawingml/2006/picture">
            <wp:extent cx="4572000" cy="28338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4572000" cy="2833868"/>
                    </a:xfrm>
                    <a:prstGeom prst="rect"/>
                  </pic:spPr>
                </pic:pic>
              </a:graphicData>
            </a:graphic>
          </wp:inline>
        </w:drawing>
      </w:r>
    </w:p>
    <w:p>
      <w:r>
        <w:rPr>
          <w:b/>
          <w:sz w:val="20"/>
        </w:rPr>
        <w:t xml:space="preserve">Fig. 2  </w:t>
      </w:r>
      <w:r>
        <w:rPr>
          <w:sz w:val="20"/>
        </w:rPr>
        <w:t>Fisher's exact test p-values for the maritime closure → conquest association as polities are progressively reclassified.</w:t>
      </w:r>
    </w:p>
    <w:p>
      <w:pPr>
        <w:pStyle w:val="Heading1"/>
      </w:pPr>
      <w:r>
        <w:t>5  Sensitivity Analysis: Technical Maritime Ban</w:t>
      </w:r>
    </w:p>
    <w:p>
      <w:pPr>
        <w:pStyle w:val="Heading2"/>
      </w:pPr>
      <w:r>
        <w:t>5.1  Closure-type disaggregation</w:t>
      </w:r>
    </w:p>
    <w:p>
      <w:r>
        <w:t>Figure 3 disaggregates conquest rates by closure type under the 7-country reclassification. Technical maritime ban polities exhibit a 100% conquest rate—higher than policy-based maritime bans (76.9% under disrupted → overtaken; 69.2% under disrupted → survived). Sakoku polities show 100% and 50% rates under the two assignments, respectively, reflecting the ambiguous case of Tokugawa Japan (disrupted). Bloc-type closures show the lowest conquest rates among closure categories, suggesting that bloc isolation may provide some protective effects through alliance structures.</w:t>
      </w:r>
    </w:p>
    <w:p>
      <w:r>
        <w:drawing>
          <wp:inline xmlns:a="http://schemas.openxmlformats.org/drawingml/2006/main" xmlns:pic="http://schemas.openxmlformats.org/drawingml/2006/picture">
            <wp:extent cx="5486400" cy="2282797"/>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282797"/>
                    </a:xfrm>
                    <a:prstGeom prst="rect"/>
                  </pic:spPr>
                </pic:pic>
              </a:graphicData>
            </a:graphic>
          </wp:inline>
        </w:drawing>
      </w:r>
    </w:p>
    <w:p>
      <w:r>
        <w:rPr>
          <w:b/>
          <w:sz w:val="20"/>
        </w:rPr>
        <w:t xml:space="preserve">Fig. 3  </w:t>
      </w:r>
      <w:r>
        <w:rPr>
          <w:sz w:val="20"/>
        </w:rPr>
        <w:t>Conquest rates by closure type under the 7-country reclassification scenario.</w:t>
      </w:r>
    </w:p>
    <w:p>
      <w:pPr>
        <w:pStyle w:val="Heading2"/>
      </w:pPr>
      <w:r>
        <w:t>5.2  Robustness of the stock-flow odds ratio</w:t>
      </w:r>
    </w:p>
    <w:p>
      <w:r>
        <w:t>A key finding is that the stock-flow confusion matrix OR = 1.774 is identical across all three reclassification scenarios. This invariance arises because the reclassification changes the closure_type label but not the dominant or outcome coding. Bootstrap validation (5,000 resamples) yields a median OR of 1.794 with a 95% CI of [0.742, 4.601], confirming the robustness of the point estimate.</w:t>
      </w:r>
    </w:p>
    <w:p>
      <w:pPr>
        <w:pStyle w:val="Heading2"/>
      </w:pPr>
      <w:r>
        <w:t>5.3  Multivariate regression stability</w:t>
      </w:r>
    </w:p>
    <w:p>
      <w:r>
        <w:t>Figure 4 presents the multivariate logistic regression results under the 7-country reclassification with disrupted → overtaken. External threat remains the strongest predictor of conquest (p &lt; 0.01 across all scenarios), followed by institutional quality and era (both p &lt; 0.01). The maritime closure dummy is not independently significant after controlling for these confounders, suggesting that the closure-conquest association is partially mediated by the same factors that drive conquest risk more generally.</w:t>
      </w:r>
    </w:p>
    <w:p>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r>
        <w:rPr>
          <w:b/>
          <w:sz w:val="20"/>
        </w:rPr>
        <w:t xml:space="preserve">Fig. 4  </w:t>
      </w:r>
      <w:r>
        <w:rPr>
          <w:sz w:val="20"/>
        </w:rPr>
        <w:t>Forest plot of multivariate logistic regression odds ratios (7-country reclassification, disrupted → overtaken).</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Variable</w:t>
            </w:r>
          </w:p>
        </w:tc>
        <w:tc>
          <w:tcPr>
            <w:tcW w:type="dxa" w:w="1881"/>
          </w:tcPr>
          <w:p>
            <w:r>
              <w:rPr>
                <w:b/>
                <w:sz w:val="20"/>
              </w:rPr>
              <w:t>OR</w:t>
            </w:r>
          </w:p>
        </w:tc>
        <w:tc>
          <w:tcPr>
            <w:tcW w:type="dxa" w:w="1881"/>
          </w:tcPr>
          <w:p>
            <w:r>
              <w:rPr>
                <w:b/>
                <w:sz w:val="20"/>
              </w:rPr>
              <w:t>95% CI</w:t>
            </w:r>
          </w:p>
        </w:tc>
        <w:tc>
          <w:tcPr>
            <w:tcW w:type="dxa" w:w="1881"/>
          </w:tcPr>
          <w:p>
            <w:r>
              <w:rPr>
                <w:b/>
                <w:sz w:val="20"/>
              </w:rPr>
              <w:t>p-value</w:t>
            </w:r>
          </w:p>
        </w:tc>
        <w:tc>
          <w:tcPr>
            <w:tcW w:type="dxa" w:w="1881"/>
          </w:tcPr>
          <w:p>
            <w:r>
              <w:rPr>
                <w:b/>
                <w:sz w:val="20"/>
              </w:rPr>
              <w:t>Sig.</w:t>
            </w:r>
          </w:p>
        </w:tc>
      </w:tr>
      <w:tr>
        <w:tc>
          <w:tcPr>
            <w:tcW w:type="dxa" w:w="1881"/>
          </w:tcPr>
          <w:p>
            <w:r>
              <w:rPr>
                <w:sz w:val="18"/>
              </w:rPr>
              <w:t>Stock-dominant</w:t>
            </w:r>
          </w:p>
        </w:tc>
        <w:tc>
          <w:tcPr>
            <w:tcW w:type="dxa" w:w="1881"/>
          </w:tcPr>
          <w:p>
            <w:r>
              <w:rPr>
                <w:sz w:val="18"/>
              </w:rPr>
              <w:t>29.619</w:t>
            </w:r>
          </w:p>
        </w:tc>
        <w:tc>
          <w:tcPr>
            <w:tcW w:type="dxa" w:w="1881"/>
          </w:tcPr>
          <w:p>
            <w:r>
              <w:rPr>
                <w:sz w:val="18"/>
              </w:rPr>
              <w:t>[0.452, 1939.410]</w:t>
            </w:r>
          </w:p>
        </w:tc>
        <w:tc>
          <w:tcPr>
            <w:tcW w:type="dxa" w:w="1881"/>
          </w:tcPr>
          <w:p>
            <w:r>
              <w:rPr>
                <w:sz w:val="18"/>
              </w:rPr>
              <w:t>0.1123</w:t>
            </w:r>
          </w:p>
        </w:tc>
        <w:tc>
          <w:tcPr>
            <w:tcW w:type="dxa" w:w="1881"/>
          </w:tcPr>
          <w:p>
            <w:r>
              <w:rPr>
                <w:sz w:val="18"/>
              </w:rPr>
            </w:r>
          </w:p>
        </w:tc>
      </w:tr>
      <w:tr>
        <w:tc>
          <w:tcPr>
            <w:tcW w:type="dxa" w:w="1881"/>
          </w:tcPr>
          <w:p>
            <w:r>
              <w:rPr>
                <w:sz w:val="18"/>
              </w:rPr>
              <w:t>Geographic barrier</w:t>
            </w:r>
          </w:p>
        </w:tc>
        <w:tc>
          <w:tcPr>
            <w:tcW w:type="dxa" w:w="1881"/>
          </w:tcPr>
          <w:p>
            <w:r>
              <w:rPr>
                <w:sz w:val="18"/>
              </w:rPr>
              <w:t>0.003</w:t>
            </w:r>
          </w:p>
        </w:tc>
        <w:tc>
          <w:tcPr>
            <w:tcW w:type="dxa" w:w="1881"/>
          </w:tcPr>
          <w:p>
            <w:r>
              <w:rPr>
                <w:sz w:val="18"/>
              </w:rPr>
              <w:t>[0.000, 2.942]</w:t>
            </w:r>
          </w:p>
        </w:tc>
        <w:tc>
          <w:tcPr>
            <w:tcW w:type="dxa" w:w="1881"/>
          </w:tcPr>
          <w:p>
            <w:r>
              <w:rPr>
                <w:sz w:val="18"/>
              </w:rPr>
              <w:t>0.0983</w:t>
            </w:r>
          </w:p>
        </w:tc>
        <w:tc>
          <w:tcPr>
            <w:tcW w:type="dxa" w:w="1881"/>
          </w:tcPr>
          <w:p>
            <w:r>
              <w:rPr>
                <w:sz w:val="18"/>
              </w:rPr>
              <w:t>†</w:t>
            </w:r>
          </w:p>
        </w:tc>
      </w:tr>
      <w:tr>
        <w:tc>
          <w:tcPr>
            <w:tcW w:type="dxa" w:w="1881"/>
          </w:tcPr>
          <w:p>
            <w:r>
              <w:rPr>
                <w:sz w:val="18"/>
              </w:rPr>
              <w:t>External threat</w:t>
            </w:r>
          </w:p>
        </w:tc>
        <w:tc>
          <w:tcPr>
            <w:tcW w:type="dxa" w:w="1881"/>
          </w:tcPr>
          <w:p>
            <w:r>
              <w:rPr>
                <w:sz w:val="18"/>
              </w:rPr>
              <w:t>1279858.850</w:t>
            </w:r>
          </w:p>
        </w:tc>
        <w:tc>
          <w:tcPr>
            <w:tcW w:type="dxa" w:w="1881"/>
          </w:tcPr>
          <w:p>
            <w:r>
              <w:rPr>
                <w:sz w:val="18"/>
              </w:rPr>
              <w:t>[106.606, &gt;10⁶]</w:t>
            </w:r>
          </w:p>
        </w:tc>
        <w:tc>
          <w:tcPr>
            <w:tcW w:type="dxa" w:w="1881"/>
          </w:tcPr>
          <w:p>
            <w:r>
              <w:rPr>
                <w:sz w:val="18"/>
              </w:rPr>
              <w:t>0.0033</w:t>
            </w:r>
          </w:p>
        </w:tc>
        <w:tc>
          <w:tcPr>
            <w:tcW w:type="dxa" w:w="1881"/>
          </w:tcPr>
          <w:p>
            <w:r>
              <w:rPr>
                <w:sz w:val="18"/>
              </w:rPr>
              <w:t>*</w:t>
            </w:r>
          </w:p>
        </w:tc>
      </w:tr>
      <w:tr>
        <w:tc>
          <w:tcPr>
            <w:tcW w:type="dxa" w:w="1881"/>
          </w:tcPr>
          <w:p>
            <w:r>
              <w:rPr>
                <w:sz w:val="18"/>
              </w:rPr>
              <w:t>Technological position</w:t>
            </w:r>
          </w:p>
        </w:tc>
        <w:tc>
          <w:tcPr>
            <w:tcW w:type="dxa" w:w="1881"/>
          </w:tcPr>
          <w:p>
            <w:r>
              <w:rPr>
                <w:sz w:val="18"/>
              </w:rPr>
              <w:t>6.973</w:t>
            </w:r>
          </w:p>
        </w:tc>
        <w:tc>
          <w:tcPr>
            <w:tcW w:type="dxa" w:w="1881"/>
          </w:tcPr>
          <w:p>
            <w:r>
              <w:rPr>
                <w:sz w:val="18"/>
              </w:rPr>
              <w:t>[0.003, 14940.014]</w:t>
            </w:r>
          </w:p>
        </w:tc>
        <w:tc>
          <w:tcPr>
            <w:tcW w:type="dxa" w:w="1881"/>
          </w:tcPr>
          <w:p>
            <w:r>
              <w:rPr>
                <w:sz w:val="18"/>
              </w:rPr>
              <w:t>0.6197</w:t>
            </w:r>
          </w:p>
        </w:tc>
        <w:tc>
          <w:tcPr>
            <w:tcW w:type="dxa" w:w="1881"/>
          </w:tcPr>
          <w:p>
            <w:r>
              <w:rPr>
                <w:sz w:val="18"/>
              </w:rPr>
            </w:r>
          </w:p>
        </w:tc>
      </w:tr>
      <w:tr>
        <w:tc>
          <w:tcPr>
            <w:tcW w:type="dxa" w:w="1881"/>
          </w:tcPr>
          <w:p>
            <w:r>
              <w:rPr>
                <w:sz w:val="18"/>
              </w:rPr>
              <w:t>Institutional quality</w:t>
            </w:r>
          </w:p>
        </w:tc>
        <w:tc>
          <w:tcPr>
            <w:tcW w:type="dxa" w:w="1881"/>
          </w:tcPr>
          <w:p>
            <w:r>
              <w:rPr>
                <w:sz w:val="18"/>
              </w:rPr>
              <w:t>0.000</w:t>
            </w:r>
          </w:p>
        </w:tc>
        <w:tc>
          <w:tcPr>
            <w:tcW w:type="dxa" w:w="1881"/>
          </w:tcPr>
          <w:p>
            <w:r>
              <w:rPr>
                <w:sz w:val="18"/>
              </w:rPr>
              <w:t>[0.000, 0.020]</w:t>
            </w:r>
          </w:p>
        </w:tc>
        <w:tc>
          <w:tcPr>
            <w:tcW w:type="dxa" w:w="1881"/>
          </w:tcPr>
          <w:p>
            <w:r>
              <w:rPr>
                <w:sz w:val="18"/>
              </w:rPr>
              <w:t>0.0074</w:t>
            </w:r>
          </w:p>
        </w:tc>
        <w:tc>
          <w:tcPr>
            <w:tcW w:type="dxa" w:w="1881"/>
          </w:tcPr>
          <w:p>
            <w:r>
              <w:rPr>
                <w:sz w:val="18"/>
              </w:rPr>
              <w:t>*</w:t>
            </w:r>
          </w:p>
        </w:tc>
      </w:tr>
      <w:tr>
        <w:tc>
          <w:tcPr>
            <w:tcW w:type="dxa" w:w="1881"/>
          </w:tcPr>
          <w:p>
            <w:r>
              <w:rPr>
                <w:sz w:val="18"/>
              </w:rPr>
              <w:t>Era (time)</w:t>
            </w:r>
          </w:p>
        </w:tc>
        <w:tc>
          <w:tcPr>
            <w:tcW w:type="dxa" w:w="1881"/>
          </w:tcPr>
          <w:p>
            <w:r>
              <w:rPr>
                <w:sz w:val="18"/>
              </w:rPr>
              <w:t>0.053</w:t>
            </w:r>
          </w:p>
        </w:tc>
        <w:tc>
          <w:tcPr>
            <w:tcW w:type="dxa" w:w="1881"/>
          </w:tcPr>
          <w:p>
            <w:r>
              <w:rPr>
                <w:sz w:val="18"/>
              </w:rPr>
              <w:t>[0.006, 0.486]</w:t>
            </w:r>
          </w:p>
        </w:tc>
        <w:tc>
          <w:tcPr>
            <w:tcW w:type="dxa" w:w="1881"/>
          </w:tcPr>
          <w:p>
            <w:r>
              <w:rPr>
                <w:sz w:val="18"/>
              </w:rPr>
              <w:t>0.0093</w:t>
            </w:r>
          </w:p>
        </w:tc>
        <w:tc>
          <w:tcPr>
            <w:tcW w:type="dxa" w:w="1881"/>
          </w:tcPr>
          <w:p>
            <w:r>
              <w:rPr>
                <w:sz w:val="18"/>
              </w:rPr>
              <w:t>*</w:t>
            </w:r>
          </w:p>
        </w:tc>
      </w:tr>
      <w:tr>
        <w:tc>
          <w:tcPr>
            <w:tcW w:type="dxa" w:w="1881"/>
          </w:tcPr>
          <w:p>
            <w:r>
              <w:rPr>
                <w:sz w:val="18"/>
              </w:rPr>
              <w:t>External patron</w:t>
            </w:r>
          </w:p>
        </w:tc>
        <w:tc>
          <w:tcPr>
            <w:tcW w:type="dxa" w:w="1881"/>
          </w:tcPr>
          <w:p>
            <w:r>
              <w:rPr>
                <w:sz w:val="18"/>
              </w:rPr>
              <w:t>0.309</w:t>
            </w:r>
          </w:p>
        </w:tc>
        <w:tc>
          <w:tcPr>
            <w:tcW w:type="dxa" w:w="1881"/>
          </w:tcPr>
          <w:p>
            <w:r>
              <w:rPr>
                <w:sz w:val="18"/>
              </w:rPr>
              <w:t>[0.017, 5.520]</w:t>
            </w:r>
          </w:p>
        </w:tc>
        <w:tc>
          <w:tcPr>
            <w:tcW w:type="dxa" w:w="1881"/>
          </w:tcPr>
          <w:p>
            <w:r>
              <w:rPr>
                <w:sz w:val="18"/>
              </w:rPr>
              <w:t>0.4247</w:t>
            </w:r>
          </w:p>
        </w:tc>
        <w:tc>
          <w:tcPr>
            <w:tcW w:type="dxa" w:w="1881"/>
          </w:tcPr>
          <w:p>
            <w:r>
              <w:rPr>
                <w:sz w:val="18"/>
              </w:rPr>
            </w:r>
          </w:p>
        </w:tc>
      </w:tr>
      <w:tr>
        <w:tc>
          <w:tcPr>
            <w:tcW w:type="dxa" w:w="1881"/>
          </w:tcPr>
          <w:p>
            <w:r>
              <w:rPr>
                <w:sz w:val="18"/>
              </w:rPr>
              <w:t>Maritime closure dummy</w:t>
            </w:r>
          </w:p>
        </w:tc>
        <w:tc>
          <w:tcPr>
            <w:tcW w:type="dxa" w:w="1881"/>
          </w:tcPr>
          <w:p>
            <w:r>
              <w:rPr>
                <w:sz w:val="18"/>
              </w:rPr>
              <w:t>0.705</w:t>
            </w:r>
          </w:p>
        </w:tc>
        <w:tc>
          <w:tcPr>
            <w:tcW w:type="dxa" w:w="1881"/>
          </w:tcPr>
          <w:p>
            <w:r>
              <w:rPr>
                <w:sz w:val="18"/>
              </w:rPr>
              <w:t>[0.013, 37.496]</w:t>
            </w:r>
          </w:p>
        </w:tc>
        <w:tc>
          <w:tcPr>
            <w:tcW w:type="dxa" w:w="1881"/>
          </w:tcPr>
          <w:p>
            <w:r>
              <w:rPr>
                <w:sz w:val="18"/>
              </w:rPr>
              <w:t>0.8630</w:t>
            </w:r>
          </w:p>
        </w:tc>
        <w:tc>
          <w:tcPr>
            <w:tcW w:type="dxa" w:w="1881"/>
          </w:tcPr>
          <w:p>
            <w:r>
              <w:rPr>
                <w:sz w:val="18"/>
              </w:rPr>
            </w:r>
          </w:p>
        </w:tc>
      </w:tr>
    </w:tbl>
    <w:p>
      <w:r>
        <w:rPr>
          <w:b/>
          <w:sz w:val="20"/>
        </w:rPr>
        <w:t xml:space="preserve">Table 3  </w:t>
      </w:r>
      <w:r>
        <w:rPr>
          <w:sz w:val="20"/>
        </w:rPr>
        <w:t>Multivariate logistic regression results (7-country reclassification, disrupted → overtaken). * p &lt; 0.05, † p &lt; 0.10.</w:t>
      </w:r>
    </w:p>
    <w:p>
      <w:pPr>
        <w:pStyle w:val="Heading1"/>
      </w:pPr>
      <w:r>
        <w:t>6  Discussion</w:t>
      </w:r>
    </w:p>
    <w:p>
      <w:r>
        <w:t>The central finding of this study is that the association between maritime closure and state collapse becomes statistically significant only when technically isolated polities are reclassified alongside policy-closed polities. This has three important implications.</w:t>
      </w:r>
    </w:p>
    <w:p>
      <w:r>
        <w:t>First, it suggests that the mechanism driving the closure-conquest link is flow disruption itself rather than the intent behind closure. Whether a polity is isolated by imperial decree (as in Ming China's haijin) or by the absence of maritime technology (as for the landlocked Timurid Empire), the consequence—exclusion from international networks of trade, information, and military technology—appears similar. This resonates with the broader literature on the benefits of openness (Acemoglu et al. 2005; Findlay and O'Rourke 2007).</w:t>
      </w:r>
    </w:p>
    <w:p>
      <w:r>
        <w:t>Second, the invariance of the stock-flow OR (1.774) across reclassification scenarios indicates that the core finding of the stock-flow framework—that stock-dominant polities face moderately higher conquest risk—is robust to how maritime isolation is coded. The reclassification affects the closure subanalysis but not the primary classification.</w:t>
      </w:r>
    </w:p>
    <w:p>
      <w:r>
        <w:t>Third, the multivariate analysis reveals that external threat and institutional quality are the dominant predictors of conquest, absorbing much of the explanatory power of the closure variable. This suggests that closure may be a proximate rather than ultimate cause: polities that close themselves off may already be experiencing institutional decay or may fail to adapt technologically, making them vulnerable to external shocks (Kennedy 1987; Turchin 2009).</w:t>
      </w:r>
    </w:p>
    <w:p>
      <w:pPr>
        <w:pStyle w:val="Heading2"/>
      </w:pPr>
      <w:r>
        <w:t>6.1  Limitations</w:t>
      </w:r>
    </w:p>
    <w:p>
      <w:r>
        <w:t>Several limitations merit discussion. First, the coding of historical polities inevitably involves subjective judgment, particularly for the stock/flow dominant classification and the technical maritime ban category. The tiered approach (strong vs. moderate candidates) partially addresses this. Second, the sample size (N = 96) constrains the power of multivariate analyses; wide confidence intervals for some regression coefficients reflect this limitation. Third, the dataset treats polities as independent observations, though historical interconnections (e.g., sequential Chinese dynasties) may violate this assumption. Fourth, the disrupted category introduces classification ambiguity that we address through dual assignment but cannot fully resolve.</w:t>
      </w:r>
    </w:p>
    <w:p>
      <w:pPr>
        <w:pStyle w:val="Heading1"/>
      </w:pPr>
      <w:r>
        <w:t>7  Conclusion</w:t>
      </w:r>
    </w:p>
    <w:p>
      <w:r>
        <w:t>This paper has demonstrated that the association between maritime closure and state collapse is sensitive to whether passively isolated polities are classified alongside deliberately closed ones. The concept of 'technical maritime ban' provides a useful analytical distinction that reveals a previously hidden pattern: all seven technically isolated polities in our dataset were eventually conquered. Combined with the stability of the stock-flow odds ratio and the dominance of external threat and institutional quality in multivariate models, our findings support the interpretation that flow disruption—regardless of intent—constitutes a significant risk factor for state collapse in the long run of history.</w:t>
      </w:r>
    </w:p>
    <w:p>
      <w:pPr>
        <w:pStyle w:val="Heading1"/>
      </w:pPr>
      <w:r>
        <w:t>References</w:t>
      </w:r>
    </w:p>
    <w:p>
      <w:pPr>
        <w:ind w:hanging="567" w:left="567"/>
      </w:pPr>
      <w:r>
        <w:t>Acemoglu D, Johnson S, Robinson JA (2005) Institutions as a fundamental cause of long-run growth. In: Aghion P, Durlauf SN (eds) Handbook of economic growth, vol 1A. Elsevier, Amsterdam, pp 385–472</w:t>
      </w:r>
    </w:p>
    <w:p>
      <w:pPr>
        <w:ind w:hanging="567" w:left="567"/>
      </w:pPr>
      <w:r>
        <w:t>Arrighi G (1994) The long twentieth century: money, power, and the origins of our times. Verso, London</w:t>
      </w:r>
    </w:p>
    <w:p>
      <w:pPr>
        <w:ind w:hanging="567" w:left="567"/>
      </w:pPr>
      <w:r>
        <w:t>Broadberry SN, Guan H (2026) Regional variation of GDP per head within China, 1080–1850. Explor Econ Hist 95:101567. https://doi.org/10.1016/j.eeh.2025.101567</w:t>
      </w:r>
    </w:p>
    <w:p>
      <w:pPr>
        <w:ind w:hanging="567" w:left="567"/>
      </w:pPr>
      <w:r>
        <w:t>De Vries J (2010) The limits of globalization in the early modern world. Econ Hist Rev 63:710–733. https://doi.org/10.1111/j.1468-0289.2009.00497.x</w:t>
      </w:r>
    </w:p>
    <w:p>
      <w:pPr>
        <w:ind w:hanging="567" w:left="567"/>
      </w:pPr>
      <w:r>
        <w:t>Findlay R, O'Rourke KH (2007) Power and plenty: trade, war, and the world economy in the second millennium. Princeton University Press, Princeton</w:t>
      </w:r>
    </w:p>
    <w:p>
      <w:pPr>
        <w:ind w:hanging="567" w:left="567"/>
      </w:pPr>
      <w:r>
        <w:t>Kennedy P (1987) The rise and fall of the great powers: economic change and military conflict from 1500 to 2000. Random House, New York</w:t>
      </w:r>
    </w:p>
    <w:p>
      <w:pPr>
        <w:ind w:hanging="567" w:left="567"/>
      </w:pPr>
      <w:r>
        <w:t>Maddison A (2007) Contours of the world economy 1–2030 AD: essays in macro-economic history. Oxford University Press, Oxford</w:t>
      </w:r>
    </w:p>
    <w:p>
      <w:pPr>
        <w:ind w:hanging="567" w:left="567"/>
      </w:pPr>
      <w:r>
        <w:t>North DC, Wallis JJ, Weingast BR (2009) Violence and social orders: a conceptual framework for interpreting recorded human history. Cambridge University Press, Cambridge</w:t>
      </w:r>
    </w:p>
    <w:p>
      <w:pPr>
        <w:ind w:hanging="567" w:left="567"/>
      </w:pPr>
      <w:r>
        <w:t>Pomeranz K (2000) The great divergence: China, Europe, and the making of the modern world economy. Princeton University Press, Princeton</w:t>
      </w:r>
    </w:p>
    <w:p>
      <w:pPr>
        <w:ind w:hanging="567" w:left="567"/>
      </w:pPr>
      <w:r>
        <w:t>Turchin P (2009) A theory for formation of large empires. J Glob Hist 4:191–217. https://doi.org/10.1017/S1740022809003192</w:t>
      </w:r>
    </w:p>
    <w:p>
      <w:pPr>
        <w:pStyle w:val="Heading1"/>
      </w:pPr>
      <w:r>
        <w:t>Statements and Declarations</w:t>
      </w:r>
    </w:p>
    <w:p>
      <w:pPr>
        <w:pStyle w:val="Heading2"/>
      </w:pPr>
      <w:r>
        <w:t>Funding</w:t>
      </w:r>
    </w:p>
    <w:p>
      <w:r>
        <w:t>[To be completed by author]</w:t>
      </w:r>
    </w:p>
    <w:p>
      <w:pPr>
        <w:pStyle w:val="Heading2"/>
      </w:pPr>
      <w:r>
        <w:t>Competing Interests</w:t>
      </w:r>
    </w:p>
    <w:p>
      <w:r>
        <w:t>The author declares no competing interests.</w:t>
      </w:r>
    </w:p>
    <w:p>
      <w:pPr>
        <w:pStyle w:val="Heading2"/>
      </w:pPr>
      <w:r>
        <w:t>Data Availability</w:t>
      </w:r>
    </w:p>
    <w:p>
      <w:r>
        <w:t>The complete dataset and analysis code are available at [repository URL]. Supplementary Table S1 provides the full dataset of 96 polities with all coded variables.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