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3,479 cesarean deliveries performed at a single institution between April 2014 and October 2024. After exclusion criteria, 3,188 cases (singleton 2,846; twin 342)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(17.7%) and twin (17.0%) groups (adjusted odds ratio [aOR] 0.92, 95% confidence interval [CI] 0.67–1.27, P = 0.624). In contrast, under the narrow definition (5-HT3 antagonists), IONV was significantly higher in the twin group (2.3% vs 0.9%; aOR 3.18, 95% CI 1.38–7.36, P = 0.007). This finding was robust across all covariate sensitivity models.</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This suggests that more severe IONV may occur in twin pregnancies during cesarean delivery.</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3,479 patients who underwent cesarean delivery at Juntendo University Shizuoka Hospital between April 1, 2014, and October 23, 2024, were eligible for inclusion (singleton 3,113; twin 366).</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other exclusion criteria, missing anesthesia data. Additionally, 55 cases with antiemetic administration before induction of anesthesia were excluded as prophylactic use.</w:t>
      </w:r>
    </w:p>
    <w:p>
      <w:r>
        <w:t>After applying these criteria, 3,188 cases (singleton 2,846; twin 342) were included in the primary analysis (Fig.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delivery or from delivery to leaving the operating room. The following seven agents were included: metoclopramide, droperidol, ondansetron, granisetron, novamin (prochlorperazine), hydroxyzine (Atarax-P), and dexamethasone.</w:t>
        <w:br/>
        <w:t>Secondary outcome: IONV was defined as antiemetic administration from anesthesia induction to delivery only.</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the 3,479 cesarean deliveries during the study period, 236 cases were excluded: general anesthesia (n = 6), systolic blood pressure &lt;90 mmHg at admission (n = 4), intrauterine fetal death (n = 13), vanishing twin (n = 3), triplet pregnancy (n = 5), other criteria (n = 147), and missing anesthesia data (n = 58). An additional 55 cases with preoperative antiemetic use were excluded, yielding a final analytical cohort of 3,188 cases (singleton 2,846; twin 342) (Fig. 1).</w:t>
      </w:r>
    </w:p>
    <w:p>
      <w:pPr>
        <w:pStyle w:val="Heading2"/>
      </w:pPr>
      <w:r>
        <w:rPr>
          <w:color w:val="000000"/>
        </w:rPr>
        <w:t>Baseline Characteristics (STROBE Item 15)</w:t>
      </w:r>
    </w:p>
    <w:p>
      <w:r>
        <w:t>Baseline characteristics of the 3,188 analyzed patients are presented in Table 1.</w:t>
      </w:r>
    </w:p>
    <w:p>
      <w:r>
        <w:rPr>
          <w:b/>
        </w:rPr>
        <w:t>Table 1. Baseline Characteristics (Singleton n = 2,846 vs Twin n = 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2,846)</w:t>
            </w:r>
          </w:p>
        </w:tc>
        <w:tc>
          <w:tcPr>
            <w:tcW w:type="dxa" w:w="2160"/>
          </w:tcPr>
          <w:p>
            <w:r>
              <w:rPr>
                <w:b/>
                <w:sz w:val="18"/>
              </w:rPr>
              <w:t>Twin (n = 342)</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IONV Incidence (STROBE Item 16)</w:t>
      </w:r>
    </w:p>
    <w:p>
      <w:r>
        <w:t>Under the broad definition, the primary-outcome IONV rate was 17.7% (504/2,846) in the singleton group and 17.0% (58/342) in the twin group (Table 2, Fig. 2).</w:t>
      </w:r>
    </w:p>
    <w:p>
      <w:r>
        <w:t>Under the narrow definition (5-HT3 antagonists), the IONV rate was 0.9% (25/2,846) in the singleton group and 2.3% (8/342)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Broad, Secondary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Narrow, Primary</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Narrow, Secondary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0.92, 95% CI 0.67–1.27, P = 0.624).</w:t>
      </w:r>
    </w:p>
    <w:p>
      <w:r>
        <w:t>Under the narrow definition, only 33 events were observed, necessitating the use of a reduced model. Twin pregnancy was significantly associated with 5-HT3 antagonist use (aOR 3.18, 95% CI 1.38–7.36, P = 0.007) (Fig.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18 models, the aOR for twin pregnancy ranged from 2.56 to 3.67, and 18/18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1,452), prior cesarean delivery (n = 1,320), HDP (n = 317), and preoperative steroid use (n = 232), the elective, low-risk sensitivity subgroup comprised 663 cases (singleton 479; twin 184) (with overlap; Fig. 1).</w:t>
      </w:r>
    </w:p>
    <w:p>
      <w:r>
        <w:t>Under the broad definition, IONV rates did not differ significantly (singleton 21.9% vs twin 14.7%; aOR 0.65, P = 0.086). Under the narrow definition, IONV remained significantly higher in the twin group (singleton 0.4% vs twin 3.3%; aOR 13.59, 95% CI 1.74–106.04, P = 0.013)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Broad, Secondary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Narrow, Primary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Narrow, Secondary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Twin Effect on IONV: Broad vs Narrow Definition (Elective, Low-Risk Subgroup)</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in both the full cohort and the elective, low-risk subgroup.</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Antiemetics may have been administered for indications other than IONV (e.g., opioid-induced pruritus prophylaxis). However, the narrow definition restricted to 5-HT3 antagonists minimized this confounding effect.</w:t>
      </w:r>
    </w:p>
    <w:p>
      <w:r>
        <w:t>Second, the number of events for the narrow definition was small (primary analysis: 33; subgroup analysis: 8), resulting in wide confidence intervals. In particular, the subgroup analysis involved a substantial reduction in sample size (3,188 → 663), limiting external validity.</w:t>
      </w:r>
    </w:p>
    <w:p>
      <w:r>
        <w:t>Third, this was a single-center study, and multicenter studies are needed to confirm generalizability. The inability to assess the severity of IONV is also a limitation.</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pPr>
        <w:pStyle w:val="Heading2"/>
      </w:pPr>
      <w:r>
        <w:rPr>
          <w:color w:val="000000"/>
        </w:rPr>
        <w:t>Generalizability (STROBE Item 22)</w:t>
      </w:r>
    </w:p>
    <w:p>
      <w:r>
        <w:t>This study was based on 10 years of data from a regional referral hospital, reflecting typical cesarean delivery management in Japan. However, antiemetic prescribing patterns may vary across institutions and eras, and caution is warranted in extrapolating these results.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cesarean delivery, prior cesarean delivery,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