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Summary</w:t>
      </w:r>
    </w:p>
    <w:p>
      <w:pPr>
        <w:spacing w:line="360" w:lineRule="auto"/>
      </w:pPr>
      <w:r>
        <w:t>Archaic-like segments near focal loci such as the ABO blood-group gene are often read as evidence of special population connections or migration routes, yet such readings are rarely tested against a genome-wide baseline that respects the dependence structure of pairwise data. We built a reproducible baseline for population-level archaic-segment sharing and used it as a well-powered negative test of exceptional-connection and focal-locus claims. High-confidence Neanderthal and Denisovan introgression calls from 3,134 individuals in 66 populations were summarised in 500-kilobase windows, and profile similarity was computed for 2,145 population pairs. Distance associations and pair-level outliers were assessed with population-label permutation tests and false-discovery-rate control. Profile similarity declined with geographic distance for Neanderthal (r=-0.497) and Denisovan (r=-0.462) segments, with partial distance correlations of -0.369 and -0.326 and permutation P values of 0.0001 and 0.0002. No non-admixed pair reached both a residual above two standard deviations and a false-discovery rate below 0.10, and a prespecified ABO-window scan showed no route-level signal. Population-level archaic-segment sharing reflects broad geographic structure but supports neither exceptional population pairs nor an ABO-mediated migration history, providing a reusable baseline for evaluating focal-locus archaic claims.</w:t>
      </w:r>
    </w:p>
    <w:p>
      <w:r>
        <w:rPr>
          <w:b/>
        </w:rPr>
        <w:t xml:space="preserve">Keywords: </w:t>
      </w:r>
      <w:r>
        <w:t>ABO Blood-Group System; Gene Flow; Genetics, Population; Models, Statistical; Neanderthals</w:t>
      </w:r>
    </w:p>
    <w:p>
      <w:r>
        <w:br w:type="page"/>
      </w:r>
    </w:p>
    <w:p>
      <w:pPr>
        <w:pStyle w:val="Heading1"/>
      </w:pPr>
      <w:r>
        <w:t>Introduction</w:t>
      </w:r>
    </w:p>
    <w:p>
      <w:pPr>
        <w:ind w:firstLine="432"/>
      </w:pPr>
      <w:r>
        <w:rPr>
          <w:rFonts w:ascii="Times New Roman" w:hAnsi="Times New Roman"/>
          <w:i w:val="0"/>
          <w:sz w:val="24"/>
        </w:rPr>
        <w:t>Genomic comparisons established gene flow from Neanderthals (Homo neanderthalensis)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use it as a well-powered negative test of two recurring claims: that particular population pairs share an exceptional excess of archaic segments, and that a focal locus such as ABO marks a specific migration route. A clearly framed negative result under dependence-aware inference is itself informative, because it sets the genome-wide expectation that any positive focal-locus or special-connection claim must exceed.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Because pair residuals are dyadically dependent, this null was generated by the same joint row-and-column population-label permutation used for the coefficient tests rather than by row-wise resampling, following the rationale for multiple-regression quadratic assignment with dependent dyads (Dekker, Krackhardt, and Snijders 2007).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Prespecified ABO-window check</w:t>
      </w:r>
    </w:p>
    <w:p>
      <w:pPr>
        <w:ind w:firstLine="432"/>
      </w:pPr>
      <w:r>
        <w:rPr>
          <w:rFonts w:ascii="Times New Roman" w:hAnsi="Times New Roman"/>
          <w:i w:val="0"/>
          <w:sz w:val="24"/>
        </w:rPr>
        <w:t>As a prespecified focal-locus check, the 500-kb ABO-centered scan identified 834 Neanderthal or Both source segments, of which 129 overlapped the ABO gene and 247 were tied for maximum reference similarity. In the Indigenous American HGDP subset only two segments among 41 represented individuals fell in the interval. Consistent with the genome-wide result, this focal scan produced no route-level signal; exploratory segment-level compositions and counts are provided as Supplementary material (Figure S2; Table S1) and are not interpreted as regional proportions or migration routes.</w:t>
      </w:r>
    </w:p>
    <w:p>
      <w:pPr>
        <w:pStyle w:val="Heading2"/>
      </w:pPr>
      <w:r>
        <w:t>Contextual displays</w:t>
      </w:r>
    </w:p>
    <w:p>
      <w:pPr>
        <w:ind w:firstLine="432"/>
      </w:pPr>
      <w:r>
        <w:rPr>
          <w:rFonts w:ascii="Times New Roman" w:hAnsi="Times New Roman"/>
          <w:i w:val="0"/>
          <w:sz w:val="24"/>
        </w:rPr>
        <w:t>Several descriptive context panels are provided as supplementary figures because they do not derive from the pairwise analysis. The O2-defining allele and ABO-window carrier summaries use different sources and are displayed descriptively rather than as an association analysis (Figure S3). Ancient and modern ABO-window observations were produced by different pipelines and permit no formal temporal comparison (Figure S4). A bivariate global map summarising each population's mean Neanderthal and Denisovan segment coverage from the present profiles provides broad geographic context and was not used in the statistical models (Figure S5).</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r>
        <w:t>Funding: This research received no specific grant from any funding agency in the public, commercial, or not-for-profit sectors.</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The ancient ABO-window observations were derived from the public Neanderthal-segment catalogue of Iasi et al. (2024), archived at Dryad (https://doi.org/10.5061/dryad.zw3r228gg); O2 subtype-defining allele frequencies were obtained from the Ensembl Variation application programming interface and from Ohashi et al. (2006). Raw-file SHA-256 checksums and all analysis parameters are included in analysis_provenance.json and ancient_abo_provenance.json.</w:t>
      </w:r>
    </w:p>
    <w:p>
      <w:pPr>
        <w:pStyle w:val="Heading1"/>
      </w:pPr>
      <w:r>
        <w:t>Conflict of Interest Statement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Exploratory 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 and are not interpreted as a migration route.</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Descriptive ancient and modern ABO-window summaries generated by different pipelines; no formal temporal comparison is made.</w:t>
      </w:r>
    </w:p>
    <w:p>
      <w:pPr>
        <w:spacing w:line="360" w:lineRule="auto" w:after="160"/>
      </w:pPr>
      <w:r>
        <w:rPr>
          <w:b/>
        </w:rPr>
        <w:t xml:space="preserve">Figure S5. </w:t>
      </w:r>
      <w:r>
        <w:t>Bivariate global context computed in this study. Circle area encodes the mean per-bin Neanderthal-segment coverage and colour encodes the mean per-bin Denisovan-segment coverage for each population, both from data/population_profiles_500kb.npz; coordinates are approximate sampling locations from data/population_metadata.csv. These descriptive summaries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