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Heterogeneous hazard shapes of treatment loss to follow-up across tuberculosis and HIV cohorts: a reproducible analysis of published curves and the case for measuring dropout timing rather than assuming it</w:t>
      </w:r>
    </w:p>
    <w:p>
      <w:pPr>
        <w:jc w:val="center"/>
      </w:pPr>
      <w:r>
        <w:rPr>
          <w:i/>
        </w:rPr>
        <w:t>Short Communication</w:t>
      </w:r>
    </w:p>
    <w:p>
      <w:r>
        <w:rPr>
          <w:b/>
          <w:sz w:val="26"/>
        </w:rPr>
        <w:t>Abstract</w:t>
      </w:r>
    </w:p>
    <w:p>
      <w:pPr>
        <w:spacing w:before="120"/>
      </w:pPr>
      <w:r>
        <w:rPr>
          <w:b/>
        </w:rPr>
        <w:t>Objectives</w:t>
      </w:r>
      <w:r>
        <w:t xml:space="preserve"> Loss to follow-up (LTFU) undermines tuberculosis (TB) and HIV treatment</w:t>
      </w:r>
      <w:r>
        <w:rPr>
          <w:vertAlign w:val="superscript"/>
        </w:rPr>
        <w:t>1</w:t>
      </w:r>
      <w:r>
        <w:t>. Its determinants are multilevel and context-dependent</w:t>
      </w:r>
      <w:r>
        <w:rPr>
          <w:vertAlign w:val="superscript"/>
        </w:rPr>
        <w:t>2</w:t>
      </w:r>
      <w:r>
        <w:t xml:space="preserve"> and retention interventions show inconsistent, setting-specific effectiveness</w:t>
      </w:r>
      <w:r>
        <w:rPr>
          <w:vertAlign w:val="superscript"/>
        </w:rPr>
        <w:t>3</w:t>
      </w:r>
      <w:r>
        <w:t>, yet adherence support is often chosen by clinical intuition rather than targeted to *when* patients actually disengage. We asked whether the timing of dropout — the Weibull hazard shape — is consistent within and across diseases, since the shape dictates when support should be intensified and lets its effect be verified against real dropout dynamics.</w:t>
      </w:r>
    </w:p>
    <w:p>
      <w:pPr>
        <w:spacing w:before="80"/>
      </w:pPr>
      <w:r>
        <w:rPr>
          <w:b/>
        </w:rPr>
        <w:t>Methods</w:t>
      </w:r>
      <w:r>
        <w:t xml:space="preserve"> We fitted two-parameter Weibull cumulative-incidence models F(t)=1−exp(−(t/λ)^k) to eight real, published time-to-event curves recovered by figure digitization: two TB treatment cohorts (Ethiopia</w:t>
      </w:r>
      <w:r>
        <w:rPr>
          <w:vertAlign w:val="superscript"/>
        </w:rPr>
        <w:t>4</w:t>
      </w:r>
      <w:r>
        <w:t>, China</w:t>
      </w:r>
      <w:r>
        <w:rPr>
          <w:vertAlign w:val="superscript"/>
        </w:rPr>
        <w:t>5</w:t>
      </w:r>
      <w:r>
        <w:t>), five HIV/ART retention cohorts (Ethiopia</w:t>
      </w:r>
      <w:r>
        <w:rPr>
          <w:vertAlign w:val="superscript"/>
        </w:rPr>
        <w:t>6</w:t>
      </w:r>
      <w:r>
        <w:t>, Maputo After- and Before-Test-and-Treat</w:t>
      </w:r>
      <w:r>
        <w:rPr>
          <w:vertAlign w:val="superscript"/>
        </w:rPr>
        <w:t>7</w:t>
      </w:r>
      <w:r>
        <w:t>, Malawi</w:t>
      </w:r>
      <w:r>
        <w:rPr>
          <w:vertAlign w:val="superscript"/>
        </w:rPr>
        <w:t>8</w:t>
      </w:r>
      <w:r>
        <w:t>, Gambella youth</w:t>
      </w:r>
      <w:r>
        <w:rPr>
          <w:vertAlign w:val="superscript"/>
        </w:rPr>
        <w:t>9</w:t>
      </w:r>
      <w:r>
        <w:t>) and one antipsychotic time-to-discontinuation cohort as a non-infectious methodological contrast</w:t>
      </w:r>
      <w:r>
        <w:rPr>
          <w:vertAlign w:val="superscript"/>
        </w:rPr>
        <w:t>10</w:t>
      </w:r>
      <w:r>
        <w:t>. The shape parameter k (k&gt;1 increasing-failure-rate [IFR], support best sustained late; k&lt;1 decreasing-failure-rate [DFR], support best front-loaded) was estimated with a bootstrap 95% confidence interval (CI) and compared with exponential and log-normal fits by the Akaike information criterion (AIC).</w:t>
      </w:r>
    </w:p>
    <w:p>
      <w:pPr>
        <w:spacing w:before="80"/>
      </w:pPr>
      <w:r>
        <w:rPr>
          <w:b/>
        </w:rPr>
        <w:t>Results</w:t>
      </w:r>
      <w:r>
        <w:t xml:space="preserve"> The shape parameter ranged from k=0.44 to k=1.86 across the eight curves (4 IFR, 4 DFR). Heterogeneity appeared </w:t>
      </w:r>
      <w:r>
        <w:rPr>
          <w:b/>
        </w:rPr>
        <w:t>within</w:t>
      </w:r>
      <w:r>
        <w:t xml:space="preserve"> as well as between diseases: the two TB cohorts fell on opposite sides of k=1 (Ethiopia k=1.68 (95% CI 1.29–1.95), IFR; China k=0.44 (95% CI 0.43–0.50), DFR), and the HIV/ART cohorts likewise split, with Maputo (k=1.39 (95% CI 1.34–1.46) and k=1.34 (95% CI 1.29–1.41)) and Gambella (k=1.86 (95% CI 1.73–2.18)) increasing-hazard but Ethiopia-ART (k=0.63 (95% CI 0.54–0.73)) and Malawi (k=0.78 (95% CI 0.64–0.91)) decreasing-hazard. No single characteristic shape held even within one disease.</w:t>
      </w:r>
    </w:p>
    <w:p>
      <w:pPr>
        <w:spacing w:before="80"/>
      </w:pPr>
      <w:r>
        <w:rPr>
          <w:b/>
        </w:rPr>
        <w:t>Conclusions</w:t>
      </w:r>
      <w:r>
        <w:t xml:space="preserve"> When patients disengage is heterogeneous within and across TB and HIV treatment, so the timing of retention support cannot be assumed from the disease label or from intuition — it must be located empirically from each setting's dropout hazard shape, which also makes an intervention's effect verifiable. The openly available, time-resolved evidence remains too sparse and heterogeneous to establish disease- or setting-specific patterns; routine reporting of time-to-LTFU curves is needed so that these shapes, and the interventions timed to them, can be established and tested.</w:t>
      </w:r>
    </w:p>
    <w:p>
      <w:pPr>
        <w:spacing w:before="80"/>
      </w:pPr>
      <w:r>
        <w:rPr>
          <w:b/>
        </w:rPr>
        <w:t>Keywords</w:t>
      </w:r>
      <w:r>
        <w:t xml:space="preserve"> Tuberculosis; HIV; Loss to follow-up; Treatment adherence; Retention in care; Weibull; Hazard function; Survival analysis; Health systems</w:t>
      </w:r>
    </w:p>
    <w:p>
      <w:r>
        <w:rPr>
          <w:b/>
          <w:sz w:val="26"/>
        </w:rPr>
        <w:t>Background</w:t>
      </w:r>
    </w:p>
    <w:p>
      <w:pPr>
        <w:spacing w:before="120"/>
      </w:pPr>
      <w:r>
        <w:t>LTFU interrupts treatment for both TB and HIV, promoting acquired drug resistance, onward transmission and avoidable death</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 — community-based, behavioural and digital approaches — show inconsistent, setting-specific effectiveness, so no single strategy has proved universally transferable</w:t>
      </w:r>
      <w:r>
        <w:rPr>
          <w:vertAlign w:val="superscript"/>
        </w:rPr>
        <w:t>3</w:t>
      </w:r>
      <w:r>
        <w:t>. In practice, retention support is still frequently delivered as generic encouragement, chosen because it seems reasonable rather than because it is matched to when patients actually leave. Adopting a package simply because it ‘looks good’ also forfeits the chance to check whether it acts at the point in treatment where dropout actually happens.</w:t>
      </w:r>
    </w:p>
    <w:p>
      <w:pPr>
        <w:spacing w:before="120"/>
      </w:pPr>
      <w:r>
        <w:t>What has been missing is a *quantitative* description of the phenomenon that plausibly underlies this: whether patients across settings even disengage on the same time-course. Programmatic reports usually give a single cumulative LTFU proportion, which hides *when* during treatment patients leave. The hazard shape carries direct operational meaning: an increasing hazard (k&gt;1) argues for intensified support later in treatment, a decreasing hazard (k&lt;1) for front-loading it in the earliest weeks. We therefore asked a narrow, testable question: across treatment cohorts that publish a time-resolved LTFU curve, is the Weibull hazard shape consistent within a disease and between diseases? An answer of ‘no’ would mean that the timing of support must be measured for each setting rather than assumed, and would identify what kind of data are needed to do so.</w:t>
      </w:r>
    </w:p>
    <w:p>
      <w:r>
        <w:rPr>
          <w:b/>
          <w:sz w:val="26"/>
        </w:rPr>
        <w:t>Methods</w:t>
      </w:r>
    </w:p>
    <w:p>
      <w:pPr>
        <w:spacing w:before="120"/>
      </w:pPr>
      <w:r>
        <w:t>We used only real, published curves. TB data were the competing-risk LTFU cumulative incidence at Ambo General Hospital, Ethiopia</w:t>
      </w:r>
      <w:r>
        <w:rPr>
          <w:vertAlign w:val="superscript"/>
        </w:rPr>
        <w:t>4</w:t>
      </w:r>
      <w:r>
        <w:t>, and the all-patient time-to-LTFU Kaplan–Meier (KM) curve from a 5-year Chinese cohort</w:t>
      </w:r>
      <w:r>
        <w:rPr>
          <w:vertAlign w:val="superscript"/>
        </w:rPr>
        <w:t>5</w:t>
      </w:r>
      <w:r>
        <w:t>. HIV/ART retention curves were an ART time-to-LTFU KM from southwest Ethiopia</w:t>
      </w:r>
      <w:r>
        <w:rPr>
          <w:vertAlign w:val="superscript"/>
        </w:rPr>
        <w:t>6</w:t>
      </w:r>
      <w:r>
        <w:t>, the After- and Before-Test-and-Treat retention curves from a Maputo (Mozambique) cohort</w:t>
      </w:r>
      <w:r>
        <w:rPr>
          <w:vertAlign w:val="superscript"/>
        </w:rPr>
        <w:t>7</w:t>
      </w:r>
      <w:r>
        <w:t>, the pre-intervention remaining-in-care curve from a Malawian case-management study</w:t>
      </w:r>
      <w:r>
        <w:rPr>
          <w:vertAlign w:val="superscript"/>
        </w:rPr>
        <w:t>8</w:t>
      </w:r>
      <w:r>
        <w:t>, and the overall KM for youth living with HIV transitioning to adult care in Gambella, Ethiopia</w:t>
      </w:r>
      <w:r>
        <w:rPr>
          <w:vertAlign w:val="superscript"/>
        </w:rPr>
        <w:t>9</w:t>
      </w:r>
      <w:r>
        <w:t>. As a non-infectious methodological contrast we added an antipsychotic time-to-discontinuation curve</w:t>
      </w:r>
      <w:r>
        <w:rPr>
          <w:vertAlign w:val="superscript"/>
        </w:rPr>
        <w:t>10</w:t>
      </w:r>
      <w:r>
        <w:t>. Curves were digitized from the published figures by an in-house pixel extractor with axis calibration read from the figure tick marks (values taken from curve pixels, not entered by hand); the original figure images and digitized coordinates are in the public repository. For each dataset we fitted the Weibull cumulative-incidence model F(t)=1−exp(−(t/λ)^k) by nonlinear least squares, obtained a bootstrap 95% CI for k, and compared the fit with exponential (k=1) and log-normal models by AIC. The shape parameter k is unit-free, so mixed follow-up units (months, days) do not affect the cross-study comparison of shape. Data, code and a one-command build that regenerates every reported number, Table 1 and Figure 1 are openly available (Availability of data and materials); no value is hard-coded.</w:t>
      </w:r>
    </w:p>
    <w:p>
      <w:r>
        <w:rPr>
          <w:b/>
          <w:sz w:val="26"/>
        </w:rPr>
        <w:t>Results</w:t>
      </w:r>
    </w:p>
    <w:p>
      <w:pPr>
        <w:spacing w:before="120"/>
      </w:pPr>
      <w:r>
        <w:t xml:space="preserve">Fitted parameters are shown in Table 1 and the fits are overlaid on the digitized data in Figure 1. The shape parameter spanned k=0.44 to k=1.86 across the eight curves, with 4 increasing-hazard (IFR) and 4 decreasing-hazard (DFR). Crucially, the split occurred </w:t>
      </w:r>
      <w:r>
        <w:rPr>
          <w:b/>
        </w:rPr>
        <w:t>within</w:t>
      </w:r>
      <w:r>
        <w:t xml:space="preserve"> diseases, not only between them. The two TB cohorts fell on opposite sides of k=1 (Ethiopia IFR, k=1.68 (95% CI 1.29–1.95); China DFR, k=0.44 (95% CI 0.43–0.50)). The five HIV/ART cohorts did the same: the two Maputo cohorts (k=1.39 (95% CI 1.34–1.46) and k=1.34 (95% CI 1.29–1.41)) and the Gambella youth cohort (k=1.86 (95% CI 1.73–2.18)) were increasing-hazard, whereas the southwest-Ethiopia ART cohort (k=0.63 (95% CI 0.54–0.73)) and the Malawi pre-intervention cohort (k=0.78 (95% CI 0.64–0.91)) were decreasing-hazard. The antipsychotic contrast was decreasing-hazard (k=0.49 (95% CI 0.42–0.57)). No single characteristic shape described even a single disease, and the AIC preferred a non-exponential (Weibull or log-normal) shape over a constant hazard for every curve.</w:t>
      </w:r>
    </w:p>
    <w:p>
      <w:pPr>
        <w:spacing w:before="200"/>
      </w:pPr>
      <w:r>
        <w:rPr>
          <w:b/>
        </w:rPr>
        <w:t>Table 1.</w:t>
      </w:r>
      <w:r>
        <w:t xml:space="preserve"> Weibull fits to the eight digitized treatment-dropout curves (source of truth: results/weibull_fits.csv; all values regenerated by the released code).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ART/HIV-Ethiopia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HIV-Maputo-ATT — PMC13037074 Fig.3 (ATT retention KM, 0-80 mo)</w:t>
            </w:r>
          </w:p>
        </w:tc>
        <w:tc>
          <w:tcPr>
            <w:tcW w:type="dxa" w:w="1872"/>
          </w:tcPr>
          <w:p>
            <w:r>
              <w:t>1.39 (1.34–1.46)</w:t>
            </w:r>
          </w:p>
        </w:tc>
        <w:tc>
          <w:tcPr>
            <w:tcW w:type="dxa" w:w="1872"/>
          </w:tcPr>
          <w:p>
            <w:r>
              <w:t>69.3</w:t>
            </w:r>
          </w:p>
        </w:tc>
        <w:tc>
          <w:tcPr>
            <w:tcW w:type="dxa" w:w="1872"/>
          </w:tcPr>
          <w:p>
            <w:r>
              <w:t>0.995</w:t>
            </w:r>
          </w:p>
        </w:tc>
        <w:tc>
          <w:tcPr>
            <w:tcW w:type="dxa" w:w="1872"/>
          </w:tcPr>
          <w:p>
            <w:r>
              <w:t>IFR (k&gt;1)</w:t>
            </w:r>
          </w:p>
        </w:tc>
      </w:tr>
      <w:tr>
        <w:tc>
          <w:tcPr>
            <w:tcW w:type="dxa" w:w="1872"/>
          </w:tcPr>
          <w:p>
            <w:r>
              <w:t>HIV-Maputo-BTT — PMC13037074 Fig.3 (BTT retention KM, 0-80 mo)</w:t>
            </w:r>
          </w:p>
        </w:tc>
        <w:tc>
          <w:tcPr>
            <w:tcW w:type="dxa" w:w="1872"/>
          </w:tcPr>
          <w:p>
            <w:r>
              <w:t>1.34 (1.29–1.41)</w:t>
            </w:r>
          </w:p>
        </w:tc>
        <w:tc>
          <w:tcPr>
            <w:tcW w:type="dxa" w:w="1872"/>
          </w:tcPr>
          <w:p>
            <w:r>
              <w:t>44.7</w:t>
            </w:r>
          </w:p>
        </w:tc>
        <w:tc>
          <w:tcPr>
            <w:tcW w:type="dxa" w:w="1872"/>
          </w:tcPr>
          <w:p>
            <w:r>
              <w:t>0.995</w:t>
            </w:r>
          </w:p>
        </w:tc>
        <w:tc>
          <w:tcPr>
            <w:tcW w:type="dxa" w:w="1872"/>
          </w:tcPr>
          <w:p>
            <w:r>
              <w:t>IFR (k&gt;1)</w:t>
            </w:r>
          </w:p>
        </w:tc>
      </w:tr>
      <w:tr>
        <w:tc>
          <w:tcPr>
            <w:tcW w:type="dxa" w:w="1872"/>
          </w:tcPr>
          <w:p>
            <w:r>
              <w:t>HIV-Malawi-pre — PMC13191892 Fig.1 (pre-intervention care KM, 0-12 mo)</w:t>
            </w:r>
          </w:p>
        </w:tc>
        <w:tc>
          <w:tcPr>
            <w:tcW w:type="dxa" w:w="1872"/>
          </w:tcPr>
          <w:p>
            <w:r>
              <w:t>0.78 (0.64–0.91)</w:t>
            </w:r>
          </w:p>
        </w:tc>
        <w:tc>
          <w:tcPr>
            <w:tcW w:type="dxa" w:w="1872"/>
          </w:tcPr>
          <w:p>
            <w:r>
              <w:t>35.8</w:t>
            </w:r>
          </w:p>
        </w:tc>
        <w:tc>
          <w:tcPr>
            <w:tcW w:type="dxa" w:w="1872"/>
          </w:tcPr>
          <w:p>
            <w:r>
              <w:t>0.928</w:t>
            </w:r>
          </w:p>
        </w:tc>
        <w:tc>
          <w:tcPr>
            <w:tcW w:type="dxa" w:w="1872"/>
          </w:tcPr>
          <w:p>
            <w:r>
              <w:t>DFR (k&lt;1)</w:t>
            </w:r>
          </w:p>
        </w:tc>
      </w:tr>
      <w:tr>
        <w:tc>
          <w:tcPr>
            <w:tcW w:type="dxa" w:w="1872"/>
          </w:tcPr>
          <w:p>
            <w:r>
              <w:t>HIV-Gambella — PMC12903592 Fig.2 (overall LTFU KM, 12-48 mo)</w:t>
            </w:r>
          </w:p>
        </w:tc>
        <w:tc>
          <w:tcPr>
            <w:tcW w:type="dxa" w:w="1872"/>
          </w:tcPr>
          <w:p>
            <w:r>
              <w:t>1.86 (1.73–2.18)</w:t>
            </w:r>
          </w:p>
        </w:tc>
        <w:tc>
          <w:tcPr>
            <w:tcW w:type="dxa" w:w="1872"/>
          </w:tcPr>
          <w:p>
            <w:r>
              <w:t>114.2</w:t>
            </w:r>
          </w:p>
        </w:tc>
        <w:tc>
          <w:tcPr>
            <w:tcW w:type="dxa" w:w="1872"/>
          </w:tcPr>
          <w:p>
            <w:r>
              <w:t>0.974</w:t>
            </w:r>
          </w:p>
        </w:tc>
        <w:tc>
          <w:tcPr>
            <w:tcW w:type="dxa" w:w="1872"/>
          </w:tcPr>
          <w:p>
            <w:r>
              <w:t>IFR (k&gt;1)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486400" cy="748145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486400" cy="7481455"/>
                    </a:xfrm>
                    <a:prstGeom prst="rect"/>
                  </pic:spPr>
                </pic:pic>
              </a:graphicData>
            </a:graphic>
          </wp:inline>
        </w:drawing>
      </w:r>
    </w:p>
    <w:p>
      <w:pPr>
        <w:spacing w:before="80"/>
      </w:pPr>
      <w:r>
        <w:rPr>
          <w:b/>
        </w:rPr>
        <w:t>Figure 1.</w:t>
      </w:r>
      <w:r>
        <w:t xml:space="preserve"> Weibull cumulative-incidence fits (red = increasing hazard, blue = decreasing hazard) to digitized dropout curves (points) for two TB and six comparator cohorts. Both the two TB cohorts and the HIV/ART cohorts split between IFR and DFR, so the hazard shape is heterogeneous within each disease.</w:t>
      </w:r>
    </w:p>
    <w:p>
      <w:r>
        <w:rPr>
          <w:b/>
          <w:sz w:val="26"/>
        </w:rPr>
        <w:t>Discussion</w:t>
      </w:r>
    </w:p>
    <w:p>
      <w:pPr>
        <w:spacing w:before="120"/>
      </w:pPr>
      <w:r>
        <w:t>The analysis puts a number on an accepted but qualitative problem and turns it in a practical direction. It is already known that treatment-interruption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xml:space="preserve"> and, importantly, that it is not confined to a single disease. Both the two TB cohorts and the HIV/ART cohorts fell on opposite sides of k=1, so there was no characteristic ‘TB shape’ or ‘HIV shape’: the direction of the dropout hazard varied from cohort to cohort within the same disease. The direct implication is that retention is not a matter of exhorting patients to try harder, and the timing of support cannot be read off the diagnosis. Because the hazard shape encodes *when* patients disengage, it maps onto the timing of adherence support: a front-loaded (DFR) setting argues for concentrating counselling, financial or social support in the earliest weeks, whereas a late-accelerating (IFR) setting argues for sustained or intensified support later in treatment. A package optimized for one shape will be mistimed in the other — a concrete, quantitative reason why globally standardized adherence interventions have shown inconsistent effects</w:t>
      </w:r>
      <w:r>
        <w:rPr>
          <w:vertAlign w:val="superscript"/>
        </w:rPr>
        <w:t>3</w:t>
      </w:r>
      <w:r>
        <w:t>.</w:t>
      </w:r>
    </w:p>
    <w:p>
      <w:pPr>
        <w:spacing w:before="120"/>
      </w:pPr>
      <w:r>
        <w:t>This reframes retention design as a measurement problem before it is an intervention problem. Choosing a support package because it seems sensible, without first locating a setting's dropout hazard shape, risks both mistiming the support and losing the ability to tell whether it worked: an effect concentrated in the wrong phase of treatment can be invisible against the actual dropout dynamics. Estimating the shape first gives a pre-specified, falsifiable target — shift the hazard at the phase where dropout concentrates — against which an intervention can be evaluated. The Weibull cumulative-incidence model used here is a compact and reproducible way to obtain that shape from a single published curve.</w:t>
      </w:r>
    </w:p>
    <w:p>
      <w:pPr>
        <w:spacing w:before="120"/>
      </w:pPr>
      <w:r>
        <w:t>We cannot explain why the shapes diverge, and we do not claim to. The divergence is confounded with different outcome definitions (competing-risk cumulative incidence vs all-patient KM), case mix, programme context and unequal observation windows, and it rests on digitized aggregate curves rather than individual patient data. One candidate worth stating explicitly is the age structure of disease onset: TB in China is increasingly concentrated in the elderly</w:t>
      </w:r>
      <w:r>
        <w:rPr>
          <w:vertAlign w:val="superscript"/>
        </w:rPr>
        <w:t>11</w:t>
      </w:r>
      <w:r>
        <w:t>, whereas high-burden sub-Saharan settings such as Ethiopia are dominated by young adults, and age was itself a significant risk factor for LTFU in the Ethiopian TB cohort</w:t>
      </w:r>
      <w:r>
        <w:rPr>
          <w:vertAlign w:val="superscript"/>
        </w:rPr>
        <w:t>4</w:t>
      </w:r>
      <w:r>
        <w:t>. If the age-at-onset distribution governs competing mortality, comorbidity and the reasons patients disengage, it could plausibly determine whether the LTFU hazard rises or falls over the course of treatment. We stress that this is a hypothesis, not a result: our curves are aggregate and not age-stratified, so neither an age-at-onset distribution nor an age-by-LTFU-timing interaction can be fitted here without inventing data. Testing it would require age-stratified time-to-LTFU curves or individual patient data.</w:t>
      </w:r>
    </w:p>
    <w:p>
      <w:r>
        <w:rPr>
          <w:b/>
          <w:sz w:val="26"/>
        </w:rPr>
        <w:t>Limitations</w:t>
      </w:r>
    </w:p>
    <w:p>
      <w:pPr>
        <w:spacing w:before="120"/>
      </w:pPr>
      <w:r>
        <w:t>Only eight time-resolved, openly available dropout curves met our bar, so the analysis is small and hypothesis-generating rather than confirmatory, and it cannot yet establish a shape for any disease. Estimates come from digitized aggregate curves, not individual patient data; the Ethiopian TB estimate is a competing-risk *subdistribution*-hazard shape; the Gambella HIV curve is plotted from an analysis time of one year, so its shape describes only the observed window; the antipsychotic cohort is small (n≈42), illustrative and outside the infectious-disease setting; and terminal KM steps and plateaus reflect administrative censoring. Different outcome definitions and follow-up windows across sources further limit direct comparison of the fitted scale parameters, although the shape parameter k is unit-free.</w:t>
      </w:r>
    </w:p>
    <w:p>
      <w:r>
        <w:rPr>
          <w:b/>
          <w:sz w:val="26"/>
        </w:rPr>
        <w:t>Conclusions</w:t>
      </w:r>
    </w:p>
    <w:p>
      <w:pPr>
        <w:spacing w:before="120"/>
      </w:pPr>
      <w:r>
        <w:t>Across the treatment cohorts that publish a time-resolved LTFU curve, the Weibull hazard shape is heterogeneous within TB and within HIV alike: cohorts of the same disease fell on opposite sides of a constant hazard. When patients disengage therefore cannot be inferred from the diagnosis or from intuition, and retention support should be timed to each setting's empirically measured dropout hazard shape — which also makes its effect verifiable. Because the openly available evidence is still too sparse to fix these shapes, routine reporting of time-to-LTFU curves, and ideally individual patient data with harmonized LTFU definitions, is needed so that dropout patterns and the interventions matched to them can be established and tested.</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Clinical trial number</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Mateus A, Waldman EA. Retention and predictors of loss-to-follow-up among patients on antiretroviral therapy in the Test-and-Treat Era: evidence from a retrospective cohort study in Maputo, Mozambique. BMC Infect Dis. 2026;26:667. doi:10.1186/s12879-026-12949-9.</w:t>
      </w:r>
    </w:p>
    <w:p>
      <w:pPr>
        <w:spacing w:before="60"/>
      </w:pPr>
      <w:r>
        <w:t>8. Makonokaya L, Dunga S, Kalitera L, Chamanga R, Msuku L, Golowa C, et al. Retention in HIV care before and after implementation of a case management program in Malawi. BMC Public Health. 2026;26:1615. doi:10.1186/s12889-026-27295-3.</w:t>
      </w:r>
    </w:p>
    <w:p>
      <w:pPr>
        <w:spacing w:before="60"/>
      </w:pPr>
      <w:r>
        <w:t>9. Dorgi A, Tunje A, Shimbre MS, Belete AG, Guyo TG, Bodicha BB, et al. Incidence and predictors of loss to follow-up among youth living with HIV transitioning to adult care in Gambella, Southwest Ethiopia. BMC Infect Dis. 2026;26:336. doi:10.1186/s12879-026-12596-0.</w:t>
      </w:r>
    </w:p>
    <w:p>
      <w:pPr>
        <w:spacing w:before="60"/>
      </w:pPr>
      <w:r>
        <w:t>10.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p>
      <w:pPr>
        <w:spacing w:before="60"/>
      </w:pPr>
      <w:r>
        <w:t>11. Yu Y, Xian S, Yang D, Mu L, Han Y, Luo W, et al. Temporal trends in tuberculosis incidence among the aging population in Southwest China: a retrospective study. BMC Geriatr. 2026;26:373. doi:10.1186/s12877-026-07373-2.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