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in Japan under universal health coverage: structural determinants and claims-audit sensitivity</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4</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4</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Materials and methods, '2.1 Study design and ethical considerations'</w:t>
            </w:r>
          </w:p>
        </w:tc>
        <w:tc>
          <w:tcPr>
            <w:tcW w:type="dxa" w:w="1247"/>
          </w:tcPr>
          <w:p>
            <w:r/>
            <w:r>
              <w:rPr>
                <w:sz w:val="18"/>
              </w:rPr>
              <w:t>5–7</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Materials and methods, '2.2 Geographic units' and '2.3 Data sources' (fiscal year 2022, 335 secondary medical areas covering all 47 prefectures of Japan)</w:t>
            </w:r>
          </w:p>
        </w:tc>
        <w:tc>
          <w:tcPr>
            <w:tcW w:type="dxa" w:w="1247"/>
          </w:tcPr>
          <w:p>
            <w:r/>
            <w:r>
              <w:rPr>
                <w:sz w:val="18"/>
              </w:rPr>
              <w:t>5–7</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Materials and methods, '2.3 Data sources'; aggregate ecological unit = secondary medical area; no individual-level eligibility criteria</w:t>
            </w:r>
          </w:p>
        </w:tc>
        <w:tc>
          <w:tcPr>
            <w:tcW w:type="dxa" w:w="1247"/>
          </w:tcPr>
          <w:p>
            <w:r/>
            <w:r>
              <w:rPr>
                <w:sz w:val="18"/>
              </w:rPr>
              <w:t>5–7</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Materials and methods, '2.4 Anaesthesia procedure codes and university hospital mapping' and '2.5 Statistical analysis'</w:t>
            </w:r>
          </w:p>
        </w:tc>
        <w:tc>
          <w:tcPr>
            <w:tcW w:type="dxa" w:w="1247"/>
          </w:tcPr>
          <w:p>
            <w:r/>
            <w:r>
              <w:rPr>
                <w:sz w:val="18"/>
              </w:rPr>
              <w:t>5–7</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Materials and methods, '2.3 Data sources and standardised claim ratios' (Cabinet Office Regional Variation Visualisation; Survey of Physicians, Dentists and Pharmacists; National Land Numerical Information)</w:t>
            </w:r>
          </w:p>
        </w:tc>
        <w:tc>
          <w:tcPr>
            <w:tcW w:type="dxa" w:w="1247"/>
          </w:tcPr>
          <w:p>
            <w:r/>
            <w:r>
              <w:rPr>
                <w:sz w:val="18"/>
              </w:rPr>
              <w:t>5–7</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Materials and methods, '2.5 Statistical analysis' and Discussion, '4.2 Strengths and limitations'</w:t>
            </w:r>
          </w:p>
        </w:tc>
        <w:tc>
          <w:tcPr>
            <w:tcW w:type="dxa" w:w="1247"/>
          </w:tcPr>
          <w:p>
            <w:r/>
            <w:r>
              <w:rPr>
                <w:sz w:val="18"/>
              </w:rPr>
              <w:t>5–7</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Materials and methods, '2.3 Data sources' (all 335 areas — no sampling)</w:t>
            </w:r>
          </w:p>
        </w:tc>
        <w:tc>
          <w:tcPr>
            <w:tcW w:type="dxa" w:w="1247"/>
          </w:tcPr>
          <w:p>
            <w:r/>
            <w:r>
              <w:rPr>
                <w:sz w:val="18"/>
              </w:rPr>
              <w:t>5–7</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Materials and methods, '2.5 Statistical analysis' (standardised claim ratio as primary outcome; empirical Bayes shrinkage)</w:t>
            </w:r>
          </w:p>
        </w:tc>
        <w:tc>
          <w:tcPr>
            <w:tcW w:type="dxa" w:w="1247"/>
          </w:tcPr>
          <w:p>
            <w:r/>
            <w:r>
              <w:rPr>
                <w:sz w:val="18"/>
              </w:rPr>
              <w:t>5–7</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Materials and methods, '2.5 Statistical analysis' (descriptive statistics, multilevel models with prefecture random intercept, variance decomposition, empirical Bayes shrinkage)</w:t>
            </w:r>
          </w:p>
        </w:tc>
        <w:tc>
          <w:tcPr>
            <w:tcW w:type="dxa" w:w="1247"/>
          </w:tcPr>
          <w:p>
            <w:r/>
            <w:r>
              <w:rPr>
                <w:sz w:val="18"/>
              </w:rPr>
              <w:t>5–7</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Results, '3.3 Sensitivity analyses against the audit hypothesis' and '3.4 Robustness: empirical Bayes shrinkage and outliers' (within-prefecture paired comparisons; alternative combined outcomes)</w:t>
            </w:r>
          </w:p>
        </w:tc>
        <w:tc>
          <w:tcPr>
            <w:tcW w:type="dxa" w:w="1247"/>
          </w:tcPr>
          <w:p>
            <w:r/>
            <w:r>
              <w:rPr>
                <w:sz w:val="18"/>
              </w:rPr>
              <w:t>5–7</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Materials and methods, '2.5 Statistical analysis' (low-volume areas masked by the data provider are reported as n and excluded from rate calculations)</w:t>
            </w:r>
          </w:p>
        </w:tc>
        <w:tc>
          <w:tcPr>
            <w:tcW w:type="dxa" w:w="1247"/>
          </w:tcPr>
          <w:p>
            <w:r/>
            <w:r>
              <w:rPr>
                <w:sz w:val="18"/>
              </w:rPr>
              <w:t>5–7</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Results, '3.3 Sensitivity analyses against the audit hypothesis'</w:t>
            </w:r>
          </w:p>
        </w:tc>
        <w:tc>
          <w:tcPr>
            <w:tcW w:type="dxa" w:w="1247"/>
          </w:tcPr>
          <w:p>
            <w:r/>
            <w:r>
              <w:rPr>
                <w:sz w:val="18"/>
              </w:rPr>
              <w:t>5–7</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'3.1 Study population' (335 areas, 47 prefectures, 64 university-hospital areas)</w:t>
            </w:r>
          </w:p>
        </w:tc>
        <w:tc>
          <w:tcPr>
            <w:tcW w:type="dxa" w:w="1247"/>
          </w:tcPr>
          <w:p>
            <w:r/>
            <w:r>
              <w:rPr>
                <w:sz w:val="18"/>
              </w:rPr>
              <w:t>8–11</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'3.1 Study population' (areas masked for low volume reported as n by procedure)</w:t>
            </w:r>
          </w:p>
        </w:tc>
        <w:tc>
          <w:tcPr>
            <w:tcW w:type="dxa" w:w="1247"/>
          </w:tcPr>
          <w:p>
            <w:r/>
            <w:r>
              <w:rPr>
                <w:sz w:val="18"/>
              </w:rPr>
              <w:t>8–11</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'3.1 Study population and variation in anaesthesia practice'; Table 1 and Table 2</w:t>
            </w:r>
          </w:p>
        </w:tc>
        <w:tc>
          <w:tcPr>
            <w:tcW w:type="dxa" w:w="1247"/>
          </w:tcPr>
          <w:p>
            <w:r/>
            <w:r>
              <w:rPr>
                <w:sz w:val="18"/>
              </w:rPr>
              <w:t>6, 8</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2 column 'n'</w:t>
            </w:r>
          </w:p>
        </w:tc>
        <w:tc>
          <w:tcPr>
            <w:tcW w:type="dxa" w:w="1247"/>
          </w:tcPr>
          <w:p>
            <w:r/>
            <w:r>
              <w:rPr>
                <w:sz w:val="18"/>
              </w:rPr>
              <w:t>8</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'3.1 Study population and variation in anaesthesia practice' and Tables 1–2 (means, SD, IQR, range, coefficients of variation)</w:t>
            </w:r>
          </w:p>
        </w:tc>
        <w:tc>
          <w:tcPr>
            <w:tcW w:type="dxa" w:w="1247"/>
          </w:tcPr>
          <w:p>
            <w:r/>
            <w:r>
              <w:rPr>
                <w:sz w:val="18"/>
              </w:rPr>
              <w:t>6–8</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'3.2 Multilevel model and university hospital effect'; Table 3 (mixed-effects coefficients with 95% confidence intervals)</w:t>
            </w:r>
          </w:p>
        </w:tc>
        <w:tc>
          <w:tcPr>
            <w:tcW w:type="dxa" w:w="1247"/>
          </w:tcPr>
          <w:p>
            <w:r/>
            <w:r>
              <w:rPr>
                <w:sz w:val="18"/>
              </w:rPr>
              <w:t>10</w:t>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legends (quintile shading)</w:t>
            </w:r>
          </w:p>
        </w:tc>
        <w:tc>
          <w:tcPr>
            <w:tcW w:type="dxa" w:w="1247"/>
          </w:tcPr>
          <w:p>
            <w:r/>
            <w:r>
              <w:rPr>
                <w:sz w:val="18"/>
              </w:rPr>
              <w:t>18–19</w:t>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'3.3 Sensitivity analyses against the audit hypothesis' and '3.4 Robustness: empirical Bayes shrinkage and outliers' (empirical Bayes shrinkage; within-prefecture comparisons; combined codes)</w:t>
            </w:r>
          </w:p>
        </w:tc>
        <w:tc>
          <w:tcPr>
            <w:tcW w:type="dxa" w:w="1247"/>
          </w:tcPr>
          <w:p>
            <w:r/>
            <w:r>
              <w:rPr>
                <w:sz w:val="18"/>
              </w:rPr>
              <w:t>8–11</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'4.1 Statement of principal findings'</w:t>
            </w:r>
          </w:p>
        </w:tc>
        <w:tc>
          <w:tcPr>
            <w:tcW w:type="dxa" w:w="1247"/>
          </w:tcPr>
          <w:p>
            <w:r/>
            <w:r>
              <w:rPr>
                <w:sz w:val="18"/>
              </w:rPr>
              <w:t>12–15</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'4.2 Strengths and limitations'</w:t>
            </w:r>
          </w:p>
        </w:tc>
        <w:tc>
          <w:tcPr>
            <w:tcW w:type="dxa" w:w="1247"/>
          </w:tcPr>
          <w:p>
            <w:r/>
            <w:r>
              <w:rPr>
                <w:sz w:val="18"/>
              </w:rPr>
              <w:t>12–15</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'4.3 International generalizability and clinical relevance'</w:t>
            </w:r>
          </w:p>
        </w:tc>
        <w:tc>
          <w:tcPr>
            <w:tcW w:type="dxa" w:w="1247"/>
          </w:tcPr>
          <w:p>
            <w:r/>
            <w:r>
              <w:rPr>
                <w:sz w:val="18"/>
              </w:rPr>
              <w:t>12–15</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'4.3 International generalizability and clinical relevance' and '4.4 Implications for perioperative practice and policy'</w:t>
            </w:r>
          </w:p>
        </w:tc>
        <w:tc>
          <w:tcPr>
            <w:tcW w:type="dxa" w:w="1247"/>
          </w:tcPr>
          <w:p>
            <w:r/>
            <w:r>
              <w:rPr>
                <w:sz w:val="18"/>
              </w:rPr>
              <w:t>12–15</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