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Journal of Clinical Anesthesia</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the Journal of Clinical Anesthesia as a Research Paper.</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three pre-specified sensitivity analyses, we show that the observed variation is predominantly structural -- driven by access to university hospitals -- rather than an audit artefact. The findings have direct implications for neuraxial anaesthesia access, postoperative pain management and workforce policy. We therefore believe the paper is a strong fit for the Journal's interest in clinical anaesthesia practice, quality of care and perioperative outcomes.</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85.5% occurred within prefectures where audit policy is uniform. University hospital presence alone explained 0.358 of total variance and was positive in all 47 prefectures, with a large effect size (Cohen's d 1.88). Sensitivity analyses for maximum plausible audit impact, within-prefecture variance decomposition, and code correlations converged in rejecting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the Journal of Clinical Anesthesia.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the Journal of Clinical Anesthesia limits for a Research Paper (main text approximately 3181 words; structured abstract 256 words, within 300 words; 3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