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3181 words</w:t>
      </w:r>
    </w:p>
    <w:p>
      <w:r>
        <w:rPr>
          <w:rFonts w:ascii="Times New Roman" w:hAnsi="Times New Roman"/>
          <w:i/>
          <w:sz w:val="24"/>
        </w:rPr>
        <w:t>Tables: 3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Journal of Clinical Anesthesia</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it is rarely possible to separate true differences in care from artefacts of coding, reimbursement and auditing. Japan's uniform national fee schedule combined with prefecture-specific claims auditing creates a natural experiment for this separation.</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conducted sensitivity analyses for population density, anaesthesiologist supply and plausible differential audit rates.</w:t>
      </w:r>
    </w:p>
    <w:p>
      <w:r>
        <w:rPr>
          <w:rFonts w:ascii="Times New Roman" w:hAnsi="Times New Roman"/>
          <w:sz w:val="24"/>
        </w:rPr>
        <w:t>Results: Coefficients of variation ranged from 53.7% (general anaesthesia) to 87.2% (epidural). For general anaesthesia, only 0.058 of variance lay between prefectures; university hospital presence explained 0.358 of total variance (</w:t>
      </w:r>
      <m:oMath>
        <m:r>
          <m:t xml:space="preserve">β </m:t>
        </m:r>
        <m:r>
          <m:t xml:space="preserve">= </m:t>
        </m:r>
        <m:r>
          <m:t xml:space="preserve">64.1</m:t>
        </m:r>
        <m:r>
          <m:t xml:space="preserve">, </m:t>
        </m:r>
        <m:r>
          <m:t xml:space="preserve">95% CI </m:t>
        </m:r>
        <m:r>
          <m:t xml:space="preserve">54.8 </m:t>
        </m:r>
        <m:r>
          <m:t xml:space="preserve">to </m:t>
        </m:r>
        <m:r>
          <m:t xml:space="preserve">73.4</m:t>
        </m:r>
        <m:r>
          <m:t xml:space="preserve">, </m:t>
        </m:r>
        <m:r>
          <m:t xml:space="preserve">P </m:t>
        </m:r>
        <m:r>
          <m:t xml:space="preserve">&lt;</m:t>
        </m:r>
        <m:r>
          <m:t xml:space="preserve">0.001</m:t>
        </m:r>
      </m:oMath>
      <w:r>
        <w:rPr>
          <w:rFonts w:ascii="Times New Roman" w:hAnsi="Times New Roman"/>
          <w:sz w:val="24"/>
        </w:rPr>
        <w:t>) and was positive in every prefecture. Maximum plausible audit-related ratio shifts were small relative to the observed interquartile range (general anaesthesia: 0.53%). Covariate adjustment attenuated but did not eliminate the university-hospital effect for general, epidural and continuous epidural anaesthesia.</w:t>
      </w:r>
    </w:p>
    <w:p>
      <w:r>
        <w:rPr>
          <w:rFonts w:ascii="Times New Roman" w:hAnsi="Times New Roman"/>
          <w:sz w:val="24"/>
        </w:rPr>
        <w:t>Conclusion: Regional variation in anaesthesia practice is predominantly structural, driven by access to university hospitals rather than by prefectural auditing. In universal-coverage systems this pattern indicates inequitable access to neuraxial techniques; policy should address workforce and organisational barriers,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neuraxial anaesthesia; small-area variation; multilevel analysis; quality of care; perioperative medicine; health equity; Japan</w:t>
      </w:r>
    </w:p>
    <w:p>
      <w:r>
        <w:br w:type="page"/>
      </w:r>
    </w:p>
    <w:p>
      <w:pPr>
        <w:spacing w:before="0" w:after="120"/>
      </w:pPr>
      <w:r>
        <w:rPr>
          <w:rFonts w:ascii="Times New Roman" w:hAnsi="Times New Roman"/>
          <w:b/>
          <w:sz w:val="26"/>
        </w:rPr>
        <w:t>1. 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an equity problem under universal coverage. Japan's 2026 fee-schedule revision clarified the billing code for general anaesthesia, reducing one source of coding ambiguity</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2. MATERIALS AND METHODS</w:t>
      </w:r>
    </w:p>
    <w:p>
      <w:pPr>
        <w:spacing w:before="160" w:after="80"/>
      </w:pPr>
      <w:r>
        <w:rPr>
          <w:rFonts w:ascii="Times New Roman" w:hAnsi="Times New Roman"/>
          <w:b/>
          <w:sz w:val="24"/>
        </w:rPr>
        <w:t>2.1 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2.2 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2.3 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2.4 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240" w:after="120"/>
      </w:pPr>
      <w:r>
        <w:rPr>
          <w:rFonts w:ascii="Times New Roman" w:hAnsi="Times New Roman"/>
          <w:b/>
          <w:sz w:val="24"/>
        </w:rPr>
        <w:t>Table 1. Anaesthesia procedure codes analysed across 335 secondary medical areas of Japan, fiscal year 2022.</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rFonts w:ascii="Times New Roman" w:hAnsi="Times New Roman"/>
                <w:b/>
                <w:sz w:val="20"/>
              </w:rPr>
              <w:t>Code</w:t>
            </w:r>
          </w:p>
        </w:tc>
        <w:tc>
          <w:tcPr>
            <w:tcW w:type="dxa" w:w="3009"/>
          </w:tcPr>
          <w:p>
            <w:r/>
            <w:r>
              <w:rPr>
                <w:rFonts w:ascii="Times New Roman" w:hAnsi="Times New Roman"/>
                <w:b/>
                <w:sz w:val="20"/>
              </w:rPr>
              <w:t>Procedure</w:t>
            </w:r>
          </w:p>
        </w:tc>
        <w:tc>
          <w:tcPr>
            <w:tcW w:type="dxa" w:w="3009"/>
          </w:tcPr>
          <w:p>
            <w:r/>
            <w:r>
              <w:rPr>
                <w:rFonts w:ascii="Times New Roman" w:hAnsi="Times New Roman"/>
                <w:b/>
                <w:sz w:val="20"/>
              </w:rPr>
              <w:t>Notes</w:t>
            </w:r>
          </w:p>
        </w:tc>
      </w:tr>
      <w:tr>
        <w:tc>
          <w:tcPr>
            <w:tcW w:type="dxa" w:w="3009"/>
          </w:tcPr>
          <w:p>
            <w:r/>
            <w:r>
              <w:rPr>
                <w:rFonts w:ascii="Times New Roman" w:hAnsi="Times New Roman"/>
                <w:sz w:val="20"/>
              </w:rPr>
              <w:t>L008</w:t>
            </w:r>
          </w:p>
        </w:tc>
        <w:tc>
          <w:tcPr>
            <w:tcW w:type="dxa" w:w="3009"/>
          </w:tcPr>
          <w:p>
            <w:r/>
            <w:r>
              <w:rPr>
                <w:rFonts w:ascii="Times New Roman" w:hAnsi="Times New Roman"/>
                <w:sz w:val="20"/>
              </w:rPr>
              <w:t>General anaesthesia (closed-circuit)</w:t>
            </w:r>
          </w:p>
        </w:tc>
        <w:tc>
          <w:tcPr>
            <w:tcW w:type="dxa" w:w="3009"/>
          </w:tcPr>
          <w:p>
            <w:r/>
            <w:r>
              <w:rPr>
                <w:rFonts w:ascii="Times New Roman" w:hAnsi="Times New Roman"/>
                <w:sz w:val="20"/>
              </w:rPr>
              <w:t>Primary indicator of overall general anaesthesia volume</w:t>
            </w:r>
          </w:p>
        </w:tc>
      </w:tr>
      <w:tr>
        <w:tc>
          <w:tcPr>
            <w:tcW w:type="dxa" w:w="3009"/>
          </w:tcPr>
          <w:p>
            <w:r/>
            <w:r>
              <w:rPr>
                <w:rFonts w:ascii="Times New Roman" w:hAnsi="Times New Roman"/>
                <w:sz w:val="20"/>
              </w:rPr>
              <w:t>L004</w:t>
            </w:r>
          </w:p>
        </w:tc>
        <w:tc>
          <w:tcPr>
            <w:tcW w:type="dxa" w:w="3009"/>
          </w:tcPr>
          <w:p>
            <w:r/>
            <w:r>
              <w:rPr>
                <w:rFonts w:ascii="Times New Roman" w:hAnsi="Times New Roman"/>
                <w:sz w:val="20"/>
              </w:rPr>
              <w:t>Spinal anaesthesia</w:t>
            </w:r>
          </w:p>
        </w:tc>
        <w:tc>
          <w:tcPr>
            <w:tcW w:type="dxa" w:w="3009"/>
          </w:tcPr>
          <w:p>
            <w:r/>
            <w:r>
              <w:rPr>
                <w:rFonts w:ascii="Times New Roman" w:hAnsi="Times New Roman"/>
                <w:sz w:val="20"/>
              </w:rPr>
              <w:t>Regional technique</w:t>
            </w:r>
          </w:p>
        </w:tc>
      </w:tr>
      <w:tr>
        <w:tc>
          <w:tcPr>
            <w:tcW w:type="dxa" w:w="3009"/>
          </w:tcPr>
          <w:p>
            <w:r/>
            <w:r>
              <w:rPr>
                <w:rFonts w:ascii="Times New Roman" w:hAnsi="Times New Roman"/>
                <w:sz w:val="20"/>
              </w:rPr>
              <w:t>L002</w:t>
            </w:r>
          </w:p>
        </w:tc>
        <w:tc>
          <w:tcPr>
            <w:tcW w:type="dxa" w:w="3009"/>
          </w:tcPr>
          <w:p>
            <w:r/>
            <w:r>
              <w:rPr>
                <w:rFonts w:ascii="Times New Roman" w:hAnsi="Times New Roman"/>
                <w:sz w:val="20"/>
              </w:rPr>
              <w:t>Epidural anaesthesia as main technique</w:t>
            </w:r>
          </w:p>
        </w:tc>
        <w:tc>
          <w:tcPr>
            <w:tcW w:type="dxa" w:w="3009"/>
          </w:tcPr>
          <w:p>
            <w:r/>
            <w:r>
              <w:rPr>
                <w:rFonts w:ascii="Times New Roman" w:hAnsi="Times New Roman"/>
                <w:sz w:val="20"/>
              </w:rPr>
              <w:t>Regional technique claimed as the primary anaesthetic</w:t>
            </w:r>
          </w:p>
        </w:tc>
      </w:tr>
      <w:tr>
        <w:tc>
          <w:tcPr>
            <w:tcW w:type="dxa" w:w="3009"/>
          </w:tcPr>
          <w:p>
            <w:r/>
            <w:r>
              <w:rPr>
                <w:rFonts w:ascii="Times New Roman" w:hAnsi="Times New Roman"/>
                <w:sz w:val="20"/>
              </w:rPr>
              <w:t>L003</w:t>
            </w:r>
          </w:p>
        </w:tc>
        <w:tc>
          <w:tcPr>
            <w:tcW w:type="dxa" w:w="3009"/>
          </w:tcPr>
          <w:p>
            <w:r/>
            <w:r>
              <w:rPr>
                <w:rFonts w:ascii="Times New Roman" w:hAnsi="Times New Roman"/>
                <w:sz w:val="20"/>
              </w:rPr>
              <w:t>Continuous epidural infusion</w:t>
            </w:r>
          </w:p>
        </w:tc>
        <w:tc>
          <w:tcPr>
            <w:tcW w:type="dxa" w:w="3009"/>
          </w:tcPr>
          <w:p>
            <w:r/>
            <w:r>
              <w:rPr>
                <w:rFonts w:ascii="Times New Roman" w:hAnsi="Times New Roman"/>
                <w:sz w:val="20"/>
              </w:rPr>
              <w:t>Regional technique largely billed as adjunct to general anaesthesia</w:t>
            </w:r>
          </w:p>
        </w:tc>
      </w:tr>
      <w:tr>
        <w:tc>
          <w:tcPr>
            <w:tcW w:type="dxa" w:w="3009"/>
          </w:tcPr>
          <w:p>
            <w:r/>
            <w:r>
              <w:rPr>
                <w:rFonts w:ascii="Times New Roman" w:hAnsi="Times New Roman"/>
                <w:sz w:val="20"/>
              </w:rPr>
              <w:t>L009</w:t>
            </w:r>
          </w:p>
        </w:tc>
        <w:tc>
          <w:tcPr>
            <w:tcW w:type="dxa" w:w="3009"/>
          </w:tcPr>
          <w:p>
            <w:r/>
            <w:r>
              <w:rPr>
                <w:rFonts w:ascii="Times New Roman" w:hAnsi="Times New Roman"/>
                <w:sz w:val="20"/>
              </w:rPr>
              <w:t>Anaesthesia management fee I</w:t>
            </w:r>
          </w:p>
        </w:tc>
        <w:tc>
          <w:tcPr>
            <w:tcW w:type="dxa" w:w="3009"/>
          </w:tcPr>
          <w:p>
            <w:r/>
            <w:r>
              <w:rPr>
                <w:rFonts w:ascii="Times New Roman" w:hAnsi="Times New Roman"/>
                <w:sz w:val="20"/>
              </w:rPr>
              <w:t>Proxy for specialist anaesthesiologist staffing</w:t>
            </w:r>
          </w:p>
        </w:tc>
      </w:tr>
      <w:tr>
        <w:tc>
          <w:tcPr>
            <w:tcW w:type="dxa" w:w="3009"/>
          </w:tcPr>
          <w:p>
            <w:r/>
            <w:r>
              <w:rPr>
                <w:rFonts w:ascii="Times New Roman" w:hAnsi="Times New Roman"/>
                <w:sz w:val="20"/>
              </w:rPr>
              <w:t>L100</w:t>
            </w:r>
          </w:p>
        </w:tc>
        <w:tc>
          <w:tcPr>
            <w:tcW w:type="dxa" w:w="3009"/>
          </w:tcPr>
          <w:p>
            <w:r/>
            <w:r>
              <w:rPr>
                <w:rFonts w:ascii="Times New Roman" w:hAnsi="Times New Roman"/>
                <w:sz w:val="20"/>
              </w:rPr>
              <w:t>Nerve block, inpatient</w:t>
            </w:r>
          </w:p>
        </w:tc>
        <w:tc>
          <w:tcPr>
            <w:tcW w:type="dxa" w:w="3009"/>
          </w:tcPr>
          <w:p>
            <w:r/>
            <w:r>
              <w:rPr>
                <w:rFonts w:ascii="Times New Roman" w:hAnsi="Times New Roman"/>
                <w:sz w:val="20"/>
              </w:rPr>
              <w:t>Indicator of pain-clinic activity</w:t>
            </w:r>
          </w:p>
        </w:tc>
      </w:tr>
    </w:tbl>
    <w:p>
      <w:pPr>
        <w:spacing w:before="120" w:after="240"/>
      </w:pPr>
      <w:r>
        <w:rPr>
          <w:rFonts w:ascii="Times New Roman" w:hAnsi="Times New Roman"/>
          <w:i/>
          <w:sz w:val="24"/>
        </w:rPr>
        <w:t>Source: Japanese fee schedule (shinryo houshu tensuhyo), fiscal year 2022. Standardised claim ratios (national average = 100) were computed for each code by indirect age- and sex-standardisation.</w:t>
      </w:r>
    </w:p>
    <w:p>
      <w:pPr>
        <w:spacing w:before="160" w:after="80"/>
      </w:pPr>
      <w:r>
        <w:rPr>
          <w:rFonts w:ascii="Times New Roman" w:hAnsi="Times New Roman"/>
          <w:b/>
          <w:sz w:val="24"/>
        </w:rPr>
        <w:t>2.5 Statistical analysis</w:t>
      </w:r>
    </w:p>
    <w:p>
      <w:r>
        <w:rPr>
          <w:rFonts w:ascii="Times New Roman" w:hAnsi="Times New Roman"/>
          <w:sz w:val="24"/>
        </w:rPr>
        <w:t xml:space="preserve">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marginal </w:t>
      </w:r>
      <m:oMath>
        <m:sSup>
          <m:e>
            <m:r>
              <m:t xml:space="preserve">R</m:t>
            </m:r>
          </m:e>
          <m:sup>
            <m:r>
              <m:t xml:space="preserve">2</m:t>
            </m:r>
          </m:sup>
        </m:sSup>
      </m:oMath>
      <w:r>
        <w:rPr>
          <w:rFonts w:ascii="Times New Roman" w:hAnsi="Times New Roman"/>
          <w:sz w:val="24"/>
        </w:rPr>
        <w:t xml:space="preserve"> quantified the proportional reduction in total variance after adding the university-hospital fixed effect. We decomposed within-prefecture variance into components attributable to university-hospital presence and residual variation. We conducted three sensitivity analyses to test the audit hypothesis: within-prefecture paired comparisons of university and non-university areas; a covariate-adjusted model adding the natural logarithm of population density and the anaesthesiologist share of all physicians; and an empirical Bayes shrinkage stress-test of area-level ratios toward prefecture means. All analyses were performed in Python 3.10 using NumPy, Pandas, SciPy and Statsmodels.</w:t>
      </w:r>
    </w:p>
    <w:p>
      <w:pPr>
        <w:spacing w:before="240" w:after="120"/>
      </w:pPr>
      <w:r>
        <w:rPr>
          <w:rFonts w:ascii="Times New Roman" w:hAnsi="Times New Roman"/>
          <w:b/>
          <w:sz w:val="26"/>
        </w:rPr>
        <w:t>3. RESULTS</w:t>
      </w:r>
    </w:p>
    <w:p>
      <w:pPr>
        <w:spacing w:before="160" w:after="80"/>
      </w:pPr>
      <w:r>
        <w:rPr>
          <w:rFonts w:ascii="Times New Roman" w:hAnsi="Times New Roman"/>
          <w:b/>
          <w:sz w:val="24"/>
        </w:rPr>
        <w:t>3.1 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r>
        <w:tc>
          <w:tcPr>
            <w:tcW w:type="dxa" w:w="1289"/>
          </w:tcPr>
          <w:p>
            <w:r/>
            <w:r>
              <w:rPr>
                <w:rFonts w:ascii="Times New Roman" w:hAnsi="Times New Roman"/>
                <w:sz w:val="20"/>
              </w:rPr>
              <w:t>L009</w:t>
            </w:r>
          </w:p>
        </w:tc>
        <w:tc>
          <w:tcPr>
            <w:tcW w:type="dxa" w:w="1289"/>
          </w:tcPr>
          <w:p>
            <w:r/>
            <w:r>
              <w:rPr>
                <w:rFonts w:ascii="Times New Roman" w:hAnsi="Times New Roman"/>
                <w:sz w:val="20"/>
              </w:rPr>
              <w:t>314</w:t>
            </w:r>
          </w:p>
        </w:tc>
        <w:tc>
          <w:tcPr>
            <w:tcW w:type="dxa" w:w="1289"/>
          </w:tcPr>
          <w:p>
            <w:r/>
            <w:r>
              <w:rPr>
                <w:rFonts w:ascii="Times New Roman" w:hAnsi="Times New Roman"/>
                <w:sz w:val="20"/>
              </w:rPr>
              <w:t>87.3 (49.9)</w:t>
            </w:r>
          </w:p>
        </w:tc>
        <w:tc>
          <w:tcPr>
            <w:tcW w:type="dxa" w:w="1289"/>
          </w:tcPr>
          <w:p>
            <w:r/>
            <w:r>
              <w:rPr>
                <w:rFonts w:ascii="Times New Roman" w:hAnsi="Times New Roman"/>
                <w:sz w:val="20"/>
              </w:rPr>
              <w:t>78.9 (51.4-116.5)</w:t>
            </w:r>
          </w:p>
        </w:tc>
        <w:tc>
          <w:tcPr>
            <w:tcW w:type="dxa" w:w="1289"/>
          </w:tcPr>
          <w:p>
            <w:r/>
            <w:r>
              <w:rPr>
                <w:rFonts w:ascii="Times New Roman" w:hAnsi="Times New Roman"/>
                <w:sz w:val="20"/>
              </w:rPr>
              <w:t>0.1</w:t>
            </w:r>
          </w:p>
        </w:tc>
        <w:tc>
          <w:tcPr>
            <w:tcW w:type="dxa" w:w="1289"/>
          </w:tcPr>
          <w:p>
            <w:r/>
            <w:r>
              <w:rPr>
                <w:rFonts w:ascii="Times New Roman" w:hAnsi="Times New Roman"/>
                <w:sz w:val="20"/>
              </w:rPr>
              <w:t>392.2</w:t>
            </w:r>
          </w:p>
        </w:tc>
        <w:tc>
          <w:tcPr>
            <w:tcW w:type="dxa" w:w="1289"/>
          </w:tcPr>
          <w:p>
            <w:r/>
            <w:r>
              <w:rPr>
                <w:rFonts w:ascii="Times New Roman" w:hAnsi="Times New Roman"/>
                <w:sz w:val="20"/>
              </w:rPr>
              <w:t>57.2</w:t>
            </w:r>
          </w:p>
        </w:tc>
      </w:tr>
      <w:tr>
        <w:tc>
          <w:tcPr>
            <w:tcW w:type="dxa" w:w="1289"/>
          </w:tcPr>
          <w:p>
            <w:r/>
            <w:r>
              <w:rPr>
                <w:rFonts w:ascii="Times New Roman" w:hAnsi="Times New Roman"/>
                <w:sz w:val="20"/>
              </w:rPr>
              <w:t>L100</w:t>
            </w:r>
          </w:p>
        </w:tc>
        <w:tc>
          <w:tcPr>
            <w:tcW w:type="dxa" w:w="1289"/>
          </w:tcPr>
          <w:p>
            <w:r/>
            <w:r>
              <w:rPr>
                <w:rFonts w:ascii="Times New Roman" w:hAnsi="Times New Roman"/>
                <w:sz w:val="20"/>
              </w:rPr>
              <w:t>335</w:t>
            </w:r>
          </w:p>
        </w:tc>
        <w:tc>
          <w:tcPr>
            <w:tcW w:type="dxa" w:w="1289"/>
          </w:tcPr>
          <w:p>
            <w:r/>
            <w:r>
              <w:rPr>
                <w:rFonts w:ascii="Times New Roman" w:hAnsi="Times New Roman"/>
                <w:sz w:val="20"/>
              </w:rPr>
              <w:t>99.8 (77.1)</w:t>
            </w:r>
          </w:p>
        </w:tc>
        <w:tc>
          <w:tcPr>
            <w:tcW w:type="dxa" w:w="1289"/>
          </w:tcPr>
          <w:p>
            <w:r/>
            <w:r>
              <w:rPr>
                <w:rFonts w:ascii="Times New Roman" w:hAnsi="Times New Roman"/>
                <w:sz w:val="20"/>
              </w:rPr>
              <w:t>77.8 (43.7-125.9)</w:t>
            </w:r>
          </w:p>
        </w:tc>
        <w:tc>
          <w:tcPr>
            <w:tcW w:type="dxa" w:w="1289"/>
          </w:tcPr>
          <w:p>
            <w:r/>
            <w:r>
              <w:rPr>
                <w:rFonts w:ascii="Times New Roman" w:hAnsi="Times New Roman"/>
                <w:sz w:val="20"/>
              </w:rPr>
              <w:t>3.0</w:t>
            </w:r>
          </w:p>
        </w:tc>
        <w:tc>
          <w:tcPr>
            <w:tcW w:type="dxa" w:w="1289"/>
          </w:tcPr>
          <w:p>
            <w:r/>
            <w:r>
              <w:rPr>
                <w:rFonts w:ascii="Times New Roman" w:hAnsi="Times New Roman"/>
                <w:sz w:val="20"/>
              </w:rPr>
              <w:t>433.3</w:t>
            </w:r>
          </w:p>
        </w:tc>
        <w:tc>
          <w:tcPr>
            <w:tcW w:type="dxa" w:w="1289"/>
          </w:tcPr>
          <w:p>
            <w:r/>
            <w:r>
              <w:rPr>
                <w:rFonts w:ascii="Times New Roman" w:hAnsi="Times New Roman"/>
                <w:sz w:val="20"/>
              </w:rPr>
              <w:t>77.3</w:t>
            </w:r>
          </w:p>
        </w:tc>
      </w:tr>
    </w:tbl>
    <w:p>
      <w:pPr>
        <w:spacing w:before="120" w:after="240"/>
      </w:pPr>
      <w:r>
        <w:rPr>
          <w:rFonts w:ascii="Times New Roman" w:hAnsi="Times New Roman"/>
          <w:i/>
          <w:sz w:val="24"/>
        </w:rPr>
        <w:t>SD, standard deviation; IQR, interquartile range; CV, coefficient of variation. Areas with low claim volume are masked by the data provider and appear as missing values; the n column reflects the number of secondary medical areas with non-missing values for each code.</w:t>
      </w:r>
    </w:p>
    <w:p>
      <w:pPr>
        <w:spacing w:after="0"/>
      </w:pPr>
    </w:p>
    <w:p>
      <w:pPr>
        <w:spacing w:before="160" w:after="80"/>
      </w:pPr>
      <w:r>
        <w:rPr>
          <w:rFonts w:ascii="Times New Roman" w:hAnsi="Times New Roman"/>
          <w:b/>
          <w:sz w:val="24"/>
        </w:rPr>
        <w:t>3.2 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85.5%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w:t>
      </w:r>
      <m:oMath>
        <m:r>
          <m:t xml:space="preserve">marginal </m:t>
        </m:r>
        <m:sSup>
          <m:e>
            <m:r>
              <m:t xml:space="preserve">R</m:t>
            </m:r>
          </m:e>
          <m:sup>
            <m:r>
              <m:t xml:space="preserve">2</m:t>
            </m:r>
          </m:sup>
        </m:sSup>
        <m:r>
          <m:t xml:space="preserve"> </m:t>
        </m:r>
        <m:r>
          <m:t xml:space="preserve">0.358</m:t>
        </m:r>
      </m:oMath>
      <w:r>
        <w:rPr>
          <w:rFonts w:ascii="Times New Roman" w:hAnsi="Times New Roman"/>
          <w:sz w:val="24"/>
        </w:rPr>
        <w:t xml:space="preserve">; </w:t>
      </w:r>
      <m:oMath>
        <m:r>
          <m:t xml:space="preserve">β </m:t>
        </m:r>
        <m:r>
          <m:t xml:space="preserve">= </m:t>
        </m:r>
        <m:r>
          <m:t xml:space="preserve">64.1</m:t>
        </m:r>
        <m:r>
          <m:t xml:space="preserve">, </m:t>
        </m:r>
        <m:r>
          <m:t xml:space="preserve">95% confidence interval </m:t>
        </m:r>
        <m:r>
          <m:t xml:space="preserve">54.8 </m:t>
        </m:r>
        <m:r>
          <m:t xml:space="preserve">to </m:t>
        </m:r>
        <m:r>
          <m:t xml:space="preserve">73.4</m:t>
        </m:r>
      </m:oMath>
      <w:r>
        <w:rPr>
          <w:rFonts w:ascii="Times New Roman" w:hAnsi="Times New Roman"/>
          <w:sz w:val="24"/>
        </w:rPr>
        <w:t xml:space="preserve">) and was statistically significant for every code (all </w:t>
      </w:r>
      <m:oMath>
        <m:r>
          <m:t xml:space="preserve">P </m:t>
        </m:r>
        <m:r>
          <m:t xml:space="preserve">&lt;</m:t>
        </m:r>
        <m:r>
          <m:t xml:space="preserve">0.001</m:t>
        </m:r>
      </m:oMath>
      <w:r>
        <w:rPr>
          <w:rFonts w:ascii="Times New Roman" w:hAnsi="Times New Roman"/>
          <w:sz w:val="24"/>
        </w:rPr>
        <w:t xml:space="preserve">) (Table 3). University hospital areas had higher general anaesthesia ratios than non-university areas in 47 of 47 prefectures, with a mean within-prefecture difference of +63.3 points (paired </w:t>
      </w:r>
      <m:oMath>
        <m:r>
          <m:t xml:space="preserve">t </m:t>
        </m:r>
        <m:r>
          <m:t xml:space="preserve">= </m:t>
        </m:r>
        <m:r>
          <m:t xml:space="preserve">13.28</m:t>
        </m:r>
        <m:r>
          <m:t xml:space="preserve">, </m:t>
        </m:r>
        <m:r>
          <m:t xml:space="preserve">P </m:t>
        </m:r>
        <m:r>
          <m:t xml:space="preserve">&lt;</m:t>
        </m:r>
        <m:r>
          <m:t xml:space="preserve">0.001</m:t>
        </m:r>
      </m:oMath>
      <w:r>
        <w:rPr>
          <w:rFonts w:ascii="Times New Roman" w:hAnsi="Times New Roman"/>
          <w:sz w:val="24"/>
        </w:rPr>
        <w:t>) (Figure 2A). Cohen's d for the university hospital effect on general anaesthesia was 1.88; on continuous epidural infusion 1.12;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w:t>
      </w:r>
      <m:oMath>
        <m:r>
          <m:t xml:space="preserve">Cohen's d </m:t>
        </m:r>
        <m:r>
          <m:t xml:space="preserve">1.55</m:t>
        </m:r>
      </m:oMath>
      <w:r>
        <w:rPr>
          <w:rFonts w:ascii="Times New Roman" w:hAnsi="Times New Roman"/>
          <w:sz w:val="24"/>
        </w:rPr>
        <w:t>; university mean 130.3 versus non-university 70.2) (Figure 2B).</w:t>
      </w:r>
    </w:p>
    <w:p>
      <w:pPr>
        <w:spacing w:before="240" w:after="120"/>
      </w:pPr>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r>
            <m:oMath>
              <m:r>
                <m:t xml:space="preserve">β</m:t>
              </m:r>
            </m:oMath>
            <w:r>
              <w:rPr>
                <w:rFonts w:ascii="Times New Roman" w:hAnsi="Times New Roman"/>
                <w:b/>
                <w:sz w:val="20"/>
              </w:rPr>
              <w:t xml:space="preserve">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 xml:space="preserve">Marginal </w:t>
            </w:r>
            <m:oMath>
              <m:sSup>
                <m:e>
                  <m:r>
                    <m:t xml:space="preserve">R</m:t>
                  </m:r>
                </m:e>
                <m:sup>
                  <m:r>
                    <m:t xml:space="preserve">2</m:t>
                  </m:r>
                </m:sup>
              </m:sSup>
            </m:oMath>
            <w:r>
              <w:rPr>
                <w:rFonts w:ascii="Times New Roman" w:hAnsi="Times New Roman"/>
                <w:b/>
                <w:sz w:val="20"/>
              </w:rPr>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r>
      <m:oMath>
        <m:r>
          <m:t xml:space="preserve">β</m:t>
        </m:r>
      </m:oMath>
      <w:r>
        <w:rPr>
          <w:rFonts w:ascii="Times New Roman" w:hAnsi="Times New Roman"/>
          <w:i/>
          <w:sz w:val="24"/>
        </w:rPr>
        <w:t xml:space="preserve"> university, fixed effect coefficient for university hospital presence (binary 0/1); CI, confidence interval; ICC, intraclass correlation coefficient (proportion of variance attributable to prefecture level in the null random-intercept model); Marginal </w:t>
      </w:r>
      <m:oMath>
        <m:sSup>
          <m:e>
            <m:r>
              <m:t xml:space="preserve">R</m:t>
            </m:r>
          </m:e>
          <m:sup>
            <m:r>
              <m:t xml:space="preserve">2</m:t>
            </m:r>
          </m:sup>
        </m:sSup>
      </m:oMath>
      <w:r>
        <w:rPr>
          <w:rFonts w:ascii="Times New Roman" w:hAnsi="Times New Roman"/>
          <w:i/>
          <w:sz w:val="24"/>
        </w:rPr>
        <w:t>, proportional reduction in total (prefecture + residual) variance from the null model after adding the university hospital fixed effect.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w:t>
      </w:r>
      <m:oMath>
        <m:r>
          <m:t xml:space="preserve">β </m:t>
        </m:r>
        <m:r>
          <m:t xml:space="preserve">= </m:t>
        </m:r>
        <m:r>
          <m:t xml:space="preserve">+41.8</m:t>
        </m:r>
        <m:r>
          <m:t xml:space="preserve">, </m:t>
        </m:r>
        <m:r>
          <m:t xml:space="preserve">95% CI </m:t>
        </m:r>
        <m:r>
          <m:t xml:space="preserve">32.4 </m:t>
        </m:r>
        <m:r>
          <m:t xml:space="preserve">to </m:t>
        </m:r>
        <m:r>
          <m:t xml:space="preserve">51.2</m:t>
        </m:r>
        <m:r>
          <m:t xml:space="preserve">, </m:t>
        </m:r>
        <m:r>
          <m:t xml:space="preserve">P </m:t>
        </m:r>
        <m:r>
          <m:t xml:space="preserve">&lt;</m:t>
        </m:r>
        <m:r>
          <m:t xml:space="preserve">0.001</m:t>
        </m:r>
      </m:oMath>
      <w:r>
        <w:rPr>
          <w:rFonts w:ascii="Times New Roman" w:hAnsi="Times New Roman"/>
          <w:sz w:val="24"/>
        </w:rPr>
        <w:t>), epidural anaesthesia (</w:t>
      </w:r>
      <m:oMath>
        <m:r>
          <m:t xml:space="preserve">β </m:t>
        </m:r>
        <m:r>
          <m:t xml:space="preserve">= </m:t>
        </m:r>
        <m:r>
          <m:t xml:space="preserve">+39.1</m:t>
        </m:r>
        <m:r>
          <m:t xml:space="preserve">, </m:t>
        </m:r>
        <m:r>
          <m:t xml:space="preserve">95% CI </m:t>
        </m:r>
        <m:r>
          <m:t xml:space="preserve">14.5 </m:t>
        </m:r>
        <m:r>
          <m:t xml:space="preserve">to </m:t>
        </m:r>
        <m:r>
          <m:t xml:space="preserve">63.7</m:t>
        </m:r>
        <m:r>
          <m:t xml:space="preserve">, </m:t>
        </m:r>
        <m:r>
          <m:t xml:space="preserve">P </m:t>
        </m:r>
        <m:r>
          <m:t xml:space="preserve">0.002</m:t>
        </m:r>
      </m:oMath>
      <w:r>
        <w:rPr>
          <w:rFonts w:ascii="Times New Roman" w:hAnsi="Times New Roman"/>
          <w:sz w:val="24"/>
        </w:rPr>
        <w:t>) and continuous epidural infusion (</w:t>
      </w:r>
      <m:oMath>
        <m:r>
          <m:t xml:space="preserve">β </m:t>
        </m:r>
        <m:r>
          <m:t xml:space="preserve">= </m:t>
        </m:r>
        <m:r>
          <m:t xml:space="preserve">+33.9</m:t>
        </m:r>
        <m:r>
          <m:t xml:space="preserve">, </m:t>
        </m:r>
        <m:r>
          <m:t xml:space="preserve">95% CI </m:t>
        </m:r>
        <m:r>
          <m:t xml:space="preserve">20.0 </m:t>
        </m:r>
        <m:r>
          <m:t xml:space="preserve">to </m:t>
        </m:r>
        <m:r>
          <m:t xml:space="preserve">47.7</m:t>
        </m:r>
        <m:r>
          <m:t xml:space="preserve">, </m:t>
        </m:r>
        <m:r>
          <m:t xml:space="preserve">P </m:t>
        </m:r>
        <m:r>
          <m:t xml:space="preserve">&lt;</m:t>
        </m:r>
        <m:r>
          <m:t xml:space="preserve">0.001</m:t>
        </m:r>
      </m:oMath>
      <w:r>
        <w:rPr>
          <w:rFonts w:ascii="Times New Roman" w:hAnsi="Times New Roman"/>
          <w:sz w:val="24"/>
        </w:rPr>
        <w:t>). For spinal anaesthesia the point estimate was positive but no longer statistically significant (</w:t>
      </w:r>
      <m:oMath>
        <m:r>
          <m:t xml:space="preserve">β </m:t>
        </m:r>
        <m:r>
          <m:t xml:space="preserve">= </m:t>
        </m:r>
        <m:r>
          <m:t xml:space="preserve">+9.7</m:t>
        </m:r>
        <m:r>
          <m:t xml:space="preserve">, </m:t>
        </m:r>
        <m:r>
          <m:t xml:space="preserve">95% CI </m:t>
        </m:r>
        <m:r>
          <m:t xml:space="preserve">-4.0 </m:t>
        </m:r>
        <m:r>
          <m:t xml:space="preserve">to </m:t>
        </m:r>
        <m:r>
          <m:t xml:space="preserve">23.3</m:t>
        </m:r>
        <m:r>
          <m:t xml:space="preserve">, </m:t>
        </m:r>
        <m:r>
          <m:t xml:space="preserve">P </m:t>
        </m:r>
        <m:r>
          <m:t xml:space="preserve">0.165</m:t>
        </m:r>
      </m:oMath>
      <w:r>
        <w:rPr>
          <w:rFonts w:ascii="Times New Roman" w:hAnsi="Times New Roman"/>
          <w:sz w:val="24"/>
        </w:rPr>
        <w:t>). Population density was positively associated with general anaesthesia ratios (</w:t>
      </w:r>
      <m:oMath>
        <m:r>
          <m:t xml:space="preserve">β </m:t>
        </m:r>
        <m:r>
          <m:t xml:space="preserve">= </m:t>
        </m:r>
        <m:r>
          <m:t xml:space="preserve">8.3</m:t>
        </m:r>
        <m:r>
          <m:t xml:space="preserve">, </m:t>
        </m:r>
        <m:r>
          <m:t xml:space="preserve">P </m:t>
        </m:r>
        <m:r>
          <m:t xml:space="preserve">&lt;</m:t>
        </m:r>
        <m:r>
          <m:t xml:space="preserve">0.001</m:t>
        </m:r>
      </m:oMath>
      <w:r>
        <w:rPr>
          <w:rFonts w:ascii="Times New Roman" w:hAnsi="Times New Roman"/>
          <w:sz w:val="24"/>
        </w:rPr>
        <w:t>) but not with the other three codes. The anaesthesiologist share was positively associated with general, epidural, continuous epidural and spinal anaesthesia (</w:t>
      </w:r>
      <m:oMath>
        <m:r>
          <m:t xml:space="preserve">P </m:t>
        </m:r>
        <m:r>
          <m:t xml:space="preserve">&lt;</m:t>
        </m:r>
        <m:r>
          <m:t xml:space="preserve">0.001</m:t>
        </m:r>
      </m:oMath>
      <w:r>
        <w:rPr>
          <w:rFonts w:ascii="Times New Roman" w:hAnsi="Times New Roman"/>
          <w:sz w:val="24"/>
        </w:rPr>
        <w:t>, 0.039, &lt;0.001 and 0.005, respectively).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spacing w:after="0"/>
      </w:pPr>
    </w:p>
    <w:p>
      <w:pPr>
        <w:spacing w:before="160" w:after="80"/>
      </w:pPr>
      <w:r>
        <w:rPr>
          <w:rFonts w:ascii="Times New Roman" w:hAnsi="Times New Roman"/>
          <w:b/>
          <w:sz w:val="24"/>
        </w:rPr>
        <w:t>3.3 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w:t>
      </w:r>
      <m:oMath>
        <m:r>
          <m:t xml:space="preserve">r </m:t>
        </m:r>
        <m:r>
          <m:t xml:space="preserve">= </m:t>
        </m:r>
        <m:r>
          <m:t xml:space="preserve">0.235</m:t>
        </m:r>
        <m:r>
          <m:t xml:space="preserve">, </m:t>
        </m:r>
        <m:r>
          <m:t xml:space="preserve">P </m:t>
        </m:r>
        <m:r>
          <m:t xml:space="preserve">&lt;</m:t>
        </m:r>
        <m:r>
          <m:t xml:space="preserve">0.001</m:t>
        </m:r>
      </m:oMath>
      <w:r>
        <w:rPr>
          <w:rFonts w:ascii="Times New Roman" w:hAnsi="Times New Roman"/>
          <w:sz w:val="24"/>
        </w:rPr>
        <w:t>), as were general and epidural anaesthesia (</w:t>
      </w:r>
      <m:oMath>
        <m:r>
          <m:t xml:space="preserve">r </m:t>
        </m:r>
        <m:r>
          <m:t xml:space="preserve">= </m:t>
        </m:r>
        <m:r>
          <m:t xml:space="preserve">0.319</m:t>
        </m:r>
        <m:r>
          <m:t xml:space="preserve">, </m:t>
        </m:r>
        <m:r>
          <m:t xml:space="preserve">P </m:t>
        </m:r>
        <m:r>
          <m:t xml:space="preserve">&lt;</m:t>
        </m:r>
        <m:r>
          <m:t xml:space="preserve">0.001</m:t>
        </m:r>
      </m:oMath>
      <w:r>
        <w:rPr>
          <w:rFonts w:ascii="Times New Roman" w:hAnsi="Times New Roman"/>
          <w:sz w:val="24"/>
        </w:rPr>
        <w:t>), inconsistent with audit-driven reclassification and consistent with a common supply factor. Third, the maximum prefectural audit-rate difference of 0.28 percentage points could produce a ratio shift of approximately 0.28 points, equivalent to approximately 0.53% of the observed interquartile range for general anaesthesia and 0.27% for epidural anaesthesia. Combining general (L008) and spinal (L004) ratios produced an alternative audit-insensitive measure with a coefficient of variation of 43.4% and a university hospital effect that remained large (</w:t>
      </w:r>
      <m:oMath>
        <m:r>
          <m:t xml:space="preserve">Cohen's d </m:t>
        </m:r>
        <m:r>
          <m:t xml:space="preserve">1.26</m:t>
        </m:r>
      </m:oMath>
      <w:r>
        <w:rPr>
          <w:rFonts w:ascii="Times New Roman" w:hAnsi="Times New Roman"/>
          <w:sz w:val="24"/>
        </w:rPr>
        <w:t>), confirming that the structural effect is not artefactually erased by combining reclassifiable codes.</w:t>
      </w:r>
    </w:p>
    <w:p>
      <w:pPr>
        <w:spacing w:before="160" w:after="80"/>
      </w:pPr>
      <w:r>
        <w:rPr>
          <w:rFonts w:ascii="Times New Roman" w:hAnsi="Times New Roman"/>
          <w:b/>
          <w:sz w:val="24"/>
        </w:rPr>
        <w:t>3.4 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4. DISCUSSION</w:t>
      </w:r>
    </w:p>
    <w:p>
      <w:pPr>
        <w:spacing w:before="160" w:after="80"/>
      </w:pPr>
      <w:r>
        <w:rPr>
          <w:rFonts w:ascii="Times New Roman" w:hAnsi="Times New Roman"/>
          <w:b/>
          <w:sz w:val="24"/>
        </w:rPr>
        <w:t>4.1 Statement of principal findings</w:t>
      </w:r>
    </w:p>
    <w:p>
      <w:r>
        <w:rPr>
          <w:rFonts w:ascii="Times New Roman" w:hAnsi="Times New Roman"/>
          <w:sz w:val="24"/>
        </w:rPr>
        <w:t>Regional variation in anaesthesia practice across Japan's 335 secondary medical areas is large and predominantly structural. University hospital presence explained the largest share of variance for general anaesthesia and was positive in every prefecture, while the proportion of variance attributable to prefecture-level factors -- where audit intensity differs -- was small. Three independent sensitivity analyses converged in rejecting differential auditing as the main explanation. Because the outcome is a reimbursed claim ratio, the observed gradient documents service delivery rather than bedside practice directly; however, the within-prefecture structure of the data and the audit-sensitivity analyses make it unlikely that the entire pattern is an artefact of differential scrutiny. The residual variation is therefore best interpreted as a geographically patterned difference in the provision of potentially beneficial anaesthesia services.</w:t>
      </w:r>
    </w:p>
    <w:p>
      <w:pPr>
        <w:spacing w:before="160" w:after="80"/>
      </w:pPr>
      <w:r>
        <w:rPr>
          <w:rFonts w:ascii="Times New Roman" w:hAnsi="Times New Roman"/>
          <w:b/>
          <w:sz w:val="24"/>
        </w:rPr>
        <w:t>4.2 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We could not access code-specific audit rates, so the audit-sensitivity bound relies on the aggregate prefectural audit differential.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4.3 International generalizability and clinical relevance</w:t>
      </w:r>
    </w:p>
    <w:p>
      <w:r>
        <w:rPr>
          <w:rFonts w:ascii="Times New Roman" w:hAnsi="Times New Roman"/>
          <w:sz w:val="24"/>
        </w:rPr>
        <w:t>Our findings are consistent with the broader medical practice-variation literature. The Dartmouth Atlas project documented extensive regional variation in surgical rates in the United States, driven primarily by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by providing, to our knowledge, the first multilevel small-area analysis of anaesthesia technique under universal coverage in East Asia. The university hospital effect we report (</w:t>
      </w:r>
      <m:oMath>
        <m:r>
          <m:t xml:space="preserve">Cohen's d </m:t>
        </m:r>
        <m:r>
          <m:t xml:space="preserve">= </m:t>
        </m:r>
        <m:r>
          <m:t xml:space="preserve">1.88</m:t>
        </m:r>
      </m:oMath>
      <w:r>
        <w:rPr>
          <w:rFonts w:ascii="Times New Roman" w:hAnsi="Times New Roman"/>
          <w:sz w:val="24"/>
        </w:rPr>
        <w:t>) is substantial, plausibly reflecting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translates into variation in potentially modifiable patient outcomes, not merely variation in billing. Because the observed gradient is not explained by differential auditing, interventions should target workforce distribution, training and organisational capacity rather than coding compliance.</w:t>
      </w:r>
    </w:p>
    <w:p>
      <w:pPr>
        <w:spacing w:before="160" w:after="80"/>
      </w:pPr>
      <w:r>
        <w:rPr>
          <w:rFonts w:ascii="Times New Roman" w:hAnsi="Times New Roman"/>
          <w:b/>
          <w:sz w:val="24"/>
        </w:rPr>
        <w:t>4.4 Implications for perioperative practice and policy</w:t>
      </w:r>
    </w:p>
    <w:p>
      <w:r>
        <w:rPr>
          <w:rFonts w:ascii="Times New Roman" w:hAnsi="Times New Roman"/>
          <w:sz w:val="24"/>
        </w:rPr>
        <w:t>Three implications follow from these findings.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signals a potential equity gap: patients' access to techniques that may improve recovery should not depend on whether they live near a university hospital. Third, regulators should focus on workforce and organisational determinants of anaesthesia service delivery rather than treating low regional ratios primarily as coding or fraud problems.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5. CONCLUSIONS</w:t>
      </w:r>
    </w:p>
    <w:p>
      <w:r>
        <w:rPr>
          <w:rFonts w:ascii="Times New Roman" w:hAnsi="Times New Roman"/>
          <w:sz w:val="24"/>
        </w:rPr>
        <w:t>Regional variation in anaesthesia practice under universal coverage in Japan is large and predominantly structural, driven by access to university hospitals rather than by prefectural claims auditing. The pattern is best interpreted as a documented-service-delivery gradient with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should separate administrative from structural sources before interpreting claims data as care variation or as coding quality.</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p>
      <w:pPr>
        <w:spacing w:before="240" w:after="120"/>
      </w:pPr>
      <w:r>
        <w:rPr>
          <w:rFonts w:ascii="Times New Roman" w:hAnsi="Times New Roman"/>
          <w:b/>
          <w:sz w:val="26"/>
        </w:rPr>
        <w:t>FIGURE LEGENDS</w:t>
      </w:r>
    </w:p>
    <w:p>
      <w:pPr>
        <w:spacing w:before="120" w:after="240"/>
      </w:pPr>
      <w:r>
        <w:rPr>
          <w:rFonts w:ascii="Times New Roman" w:hAnsi="Times New Roman"/>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before="120" w:after="240"/>
      </w:pPr>
      <w:r>
        <w:rPr>
          <w:rFonts w:ascii="Times New Roman" w:hAnsi="Times New Roman"/>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