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Heat waves are increasing under climate change and ambient heat drives mortality. Because driving continues in the heat, some fatal crashes may involve heat-related impairment or undiagnosed heat illness that is never recorded. We estimated the potential population-level traffic-crash mortality burden of such under-recognised heat effects in the USA and Japan.</w:t>
      </w:r>
    </w:p>
    <w:p>
      <w:pPr>
        <w:spacing w:after="120" w:line="480" w:lineRule="auto"/>
      </w:pPr>
      <w:r>
        <w:rPr>
          <w:b/>
        </w:rPr>
        <w:t xml:space="preserve">Methods </w:t>
      </w:r>
      <w:r>
        <w:t>In this ecological time-series study we fitted quasi-Poisson distributed-lag models of the local seasonal temperature anomaly to state-day (USA) and prefecture-day (Japan) panels, adjusting for spatial, seasonal, long-term-trend and day-of-week terms. Data were the US Fatality Analysis Reporting System (2016-2022) and Japanese National Police Agency accident open data (2019-2024), linked to Global Historical Climatology Network-Daily (GHCN-Daily) temperature.</w:t>
      </w:r>
    </w:p>
    <w:p>
      <w:pPr>
        <w:spacing w:after="120" w:line="480" w:lineRule="auto"/>
      </w:pPr>
      <w:r>
        <w:rPr>
          <w:b/>
        </w:rPr>
        <w:t xml:space="preserve">Findings </w:t>
      </w:r>
      <w:r>
        <w:t>In the USA (270,497 crash deaths) a +9°C anomaly raised same-day crash mortality (rate ratio [RR] 1.165 (95% CI 1.134-1.196)), unchanged after adjusting for national driving activity (RR 1.162). The excess was larger for open-air road users (motorcyclists 2.141, pedestrians 1.213) than vehicle occupants (1.050). Net heat-attributable deaths were 513 per year (1.33%), similar to the 527 officially recorded direct-heat deaths per year (ICD-10 X30); +1 to +3°C warming projected 339-983 additional deaths per year. In Japan (11,576 deaths) the estimate was directionally similar but imprecise.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They are consistent with an under-recognised heat contribution but cannot establish heat illness in any individual crash, and open-air gradients may partly reflect weather-related activity.</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 xml:space="preserve">Heat waves are becoming more frequent under climate change, and ambient heat is an established driver of mortality </w:t>
      </w:r>
      <w:r>
        <w:rPr>
          <w:vertAlign w:val="superscript"/>
        </w:rPr>
        <w:t>1,2</w:t>
      </w:r>
      <w:r>
        <w:t>. Occupational and driving activity do not stop during heat, so some fatal accidents plausibly involve heat-related impairment or frank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 -- the deaths that would be missing from official heat statistics -- rather than to diagnose heat illness in any individual crash.</w:t>
      </w:r>
    </w:p>
    <w:p>
      <w:pPr>
        <w:pStyle w:val="Heading1"/>
      </w:pPr>
      <w:r>
        <w:t>Methods</w:t>
      </w:r>
    </w:p>
    <w:p>
      <w:pPr>
        <w:spacing w:after="120" w:line="480" w:lineRule="auto"/>
      </w:pPr>
      <w:r>
        <w:t xml:space="preserve">We built daily panels of traffic-crash deaths by US state (FARS, 2016-2022) </w:t>
      </w:r>
      <w:r>
        <w:rPr>
          <w:vertAlign w:val="superscript"/>
        </w:rPr>
        <w:t>3</w:t>
      </w:r>
      <w:r>
        <w:t xml:space="preserve"> and by Japanese prefecture (NPA accident open data, 2019-2024) </w:t>
      </w:r>
      <w:r>
        <w:rPr>
          <w:vertAlign w:val="superscript"/>
        </w:rPr>
        <w:t>4</w:t>
      </w:r>
      <w:r>
        <w:t xml:space="preserve">. Daily mean temperature was derived from GHCN-Daily stations </w:t>
      </w:r>
      <w:r>
        <w:rPr>
          <w:vertAlign w:val="superscript"/>
        </w:rPr>
        <w:t>5</w:t>
      </w:r>
      <w:r>
        <w:t xml:space="preserve"> as the mean of TMAX and TMIN, aggregated to each spatial unit from the nearest reporting stations. For each unit we estimated a cyclic day-of-year climatology and defined the temperature anomaly as the observed minus the climatological temperature.</w:t>
      </w:r>
    </w:p>
    <w:p>
      <w:pPr>
        <w:spacing w:after="120" w:line="480" w:lineRule="auto"/>
      </w:pPr>
      <w:r>
        <w:t xml:space="preserve">Because absolute temperature is strongly confounded by the seasonal cycle of driving exposure, our primary model used the anomaly. We fitted quasi-Poisson distributed-lag models </w:t>
      </w:r>
      <w:r>
        <w:rPr>
          <w:vertAlign w:val="superscript"/>
        </w:rPr>
        <w:t>6</w:t>
      </w:r>
      <w:r>
        <w:t xml:space="preserve"> in which the exposure entered through a constant-free natural cubic spline within three lag windows (same-day, 1-3 days, 4-10 days), adjusting for spatial fixed effects, region-specific season (natural spline of day of year), a long-term time trend and day of week. Overdispersion was accommodated with a quasi-Poisson dispersion parameter. Net heat-attributable deaths were computed by the method of Gasparrini and Leone </w:t>
      </w:r>
      <w:r>
        <w:rPr>
          <w:vertAlign w:val="superscript"/>
        </w:rPr>
        <w:t>7</w:t>
      </w:r>
      <w:r>
        <w:t xml:space="preserve"> with Monte Carlo (MC) confidence intervals (CIs). As a sensitivity analysis for the US we added national vehicle-miles travelled (VMT) </w:t>
      </w:r>
      <w:r>
        <w:rPr>
          <w:vertAlign w:val="superscript"/>
        </w:rPr>
        <w:t>8</w:t>
      </w:r>
      <w:r>
        <w:t xml:space="preserve"> and finished-motor-gasoline product supplied </w:t>
      </w:r>
      <w:r>
        <w:rPr>
          <w:vertAlign w:val="superscript"/>
        </w:rPr>
        <w:t>9</w:t>
      </w:r>
      <w:r>
        <w:t xml:space="preserve"> as activity proxies. Officially recorded direct-heat deaths (International Classification of Diseases, 10th revision [ICD-10] code X30) were obtained from CDC WONDER </w:t>
      </w:r>
      <w:r>
        <w:rPr>
          <w:vertAlign w:val="superscript"/>
        </w:rPr>
        <w:t>10</w:t>
      </w:r>
      <w:r>
        <w:t>.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implied by uniform warming of the daily temperature distribution (+1, +2, +3 C), holding activity and baseline rates constant. All data are public and the full pipeline is reproducible from source (see Data sharing).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raised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indicating that day-to-day driving volume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 xml:space="preserve">Two exploratory analyses were consistent with a heat mechanism, although neither can exclude residual confounding. First, the same-day excess differed by road-user exposure (Fig. 4; Table 4): the effect was small for enclosed, often air-conditioned, vehicle occupants (RR 1.050 (1.016-1.085)) but larger for open-air users -- motorcyclists (RR 2.141 (2.000-2.292)), pedestrians (RR 1.213 (1.145-1.286)) and cyclists (RR 1.237 (1.032-1.484)) -- a gradient consistent with direct bodily heat exposure and physical exertion </w:t>
      </w:r>
      <w:r>
        <w:rPr>
          <w:vertAlign w:val="superscript"/>
        </w:rPr>
        <w:t>11</w:t>
      </w:r>
      <w:r>
        <w:t>, though it could also partly reflect greater discretionary open-air travel (motorcycling, cycling, walking) on hotter-than-normal days, which our aggregate activity proxies do not capture by mode.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 -- a gradient that tracks direct heat exposure rather than driving volume.</w:t>
      </w:r>
    </w:p>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4.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3). This is of the same order as the 527 officially recorded direct-heat deaths per year (ICD-10 X30, 2016-2020; Fig. 7), so a heat contribution to crash deaths of a magnitude comparable to all recorded direct-heat mortality would be entirely absent from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3.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 xml:space="preserve">To gauge the trajectory under continued warming, we applied the estimated anomaly exposure-response to uniformly warmer daily temperatures, holding driving activity and baseline rates constant </w:t>
      </w:r>
      <w:r>
        <w:rPr>
          <w:vertAlign w:val="superscript"/>
        </w:rPr>
        <w:t>12</w:t>
      </w:r>
      <w:r>
        <w:t>.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Directly comparing the two countries (Fig. 10), the US shows a precise acute effect whereas the Japanese panel, with roughly fifteen times fewer annual crash deaths and sparser temperature coverage, 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Days hotter than the local seasonal norm are associated with an acute, same-day excess of US traffic-crash deaths that is robust to activity confounding and is comparable in magnitude to all officially recorded direct-heat mortality. This is consistent with the hypothesis that heat-related impairment and under-recognised heat illness contribute to road deaths without appearing in cause-of-death data. The 1-3 day deficit indicates that part of the acute excess reflects short-term displacement, so the net annual burden is smaller than the same-day spike alone would imply.</w:t>
      </w:r>
    </w:p>
    <w:p>
      <w:pPr>
        <w:spacing w:after="120" w:line="480" w:lineRule="auto"/>
      </w:pPr>
      <w:r>
        <w:t>Two patterns are consistent with a direct heat mechanism rather than with confounding by aggregate driving volume. The excess was graded by bodily heat exposure -- minimal for enclosed, frequently air-conditioned vehicle occupants but several-fold larger for motorcyclists, pedestrians and cyclists, who are directly exposed and often physically exerting -- and it was largest in the hottest hours of the day. Both are expected if heat degrades psychomotor and cognitive performance. We caution, however, that these gradients are not proof of mechanism: open-air travel is itself weather-elastic,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invisible to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results motivate, but do not substitute for, individual-level studies linking crash decedents to ambient heat and, where available, post-mortem findings.</w:t>
      </w:r>
    </w:p>
    <w:p>
      <w:pPr>
        <w:pStyle w:val="Heading1"/>
      </w:pPr>
      <w:r>
        <w:t>Conclusion</w:t>
      </w:r>
    </w:p>
    <w:p>
      <w:pPr>
        <w:spacing w:after="120" w:line="480" w:lineRule="auto"/>
      </w:pPr>
      <w:r>
        <w:t>Unusually hot days raise US traffic-crash mortality acutely, by an amount similar to all recorded direct-heat deaths, supporting the plausibility of an under-recognised heat contribution to road deaths. The Japanese data are consistent in direction on some specifications but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interests</w:t>
      </w:r>
    </w:p>
    <w:p>
      <w:pPr>
        <w:spacing w:after="120" w:line="480" w:lineRule="auto"/>
      </w:pPr>
      <w:r>
        <w:t>[PLACEHOLDER — replace before submission.] We declare no competing interests.</w:t>
      </w:r>
    </w:p>
    <w:p>
      <w:pPr>
        <w:pStyle w:val="Heading1"/>
      </w:pPr>
      <w:r>
        <w:t>Role of the funding source</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Use of generative AI</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sharing</w:t>
      </w:r>
    </w:p>
    <w:p>
      <w:pPr>
        <w:spacing w:after="120" w:line="480" w:lineRule="auto"/>
      </w:pPr>
      <w:r>
        <w:t>All data are public: FARS, GHCN-Daily, CDC WONDER, FHWA/FRED, EIA and the Japanese NPA accident open data (see References for sources). The complete analysis code and one-command reproduction pipeline (make all)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