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same-day rate ratio of crash death for a +9 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178,365</w:t>
            </w:r>
          </w:p>
        </w:tc>
        <w:tc>
          <w:tcPr>
            <w:tcW w:type="dxa" w:w="2880"/>
          </w:tcPr>
          <w:p>
            <w:r>
              <w:t>1.050 (1.016-1.085)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38,248</w:t>
            </w:r>
          </w:p>
        </w:tc>
        <w:tc>
          <w:tcPr>
            <w:tcW w:type="dxa" w:w="2880"/>
          </w:tcPr>
          <w:p>
            <w:r>
              <w:t>2.141 (2.000-2.292)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46,022</w:t>
            </w:r>
          </w:p>
        </w:tc>
        <w:tc>
          <w:tcPr>
            <w:tcW w:type="dxa" w:w="2880"/>
          </w:tcPr>
          <w:p>
            <w:r>
              <w:t>1.213 (1.145-1.286)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6,356</w:t>
            </w:r>
          </w:p>
        </w:tc>
        <w:tc>
          <w:tcPr>
            <w:tcW w:type="dxa" w:w="2880"/>
          </w:tcPr>
          <w:p>
            <w:r>
              <w:t>1.237 (1.032-1.484)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54,003</w:t>
            </w:r>
          </w:p>
        </w:tc>
        <w:tc>
          <w:tcPr>
            <w:tcW w:type="dxa" w:w="2880"/>
          </w:tcPr>
          <w:p>
            <w:r>
              <w:t>1.123 (1.059-1.191)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166,699</w:t>
            </w:r>
          </w:p>
        </w:tc>
        <w:tc>
          <w:tcPr>
            <w:tcW w:type="dxa" w:w="2880"/>
          </w:tcPr>
          <w:p>
            <w:r>
              <w:t>1.177 (1.140-1.216)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49,680</w:t>
            </w:r>
          </w:p>
        </w:tc>
        <w:tc>
          <w:tcPr>
            <w:tcW w:type="dxa" w:w="2880"/>
          </w:tcPr>
          <w:p>
            <w:r>
              <w:t>1.167 (1.104-1.234)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339 (250-428)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661 (459-864)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983 (644-1356)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