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International Journal of Health Policy and Management</w:t>
      </w:r>
    </w:p>
    <w:p>
      <w:r>
        <w:rPr>
          <w:rFonts w:ascii="Times New Roman" w:hAnsi="Times New Roman"/>
          <w:b w:val="0"/>
          <w:i w:val="0"/>
          <w:sz w:val="24"/>
        </w:rPr>
        <w:t>Kerman University of Medical Sciences</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structural determinant or claims-audit artefact?" for possible publication in the International Journal of Health Policy and Management as an Original Research Article.</w:t>
      </w:r>
    </w:p>
    <w:p>
      <w:r>
        <w:rPr>
          <w:rFonts w:ascii="Times New Roman" w:hAnsi="Times New Roman"/>
          <w:b w:val="0"/>
          <w:i w:val="0"/>
          <w:sz w:val="24"/>
        </w:rPr>
        <w:t>We believe that our manuscript is well aligned with IJHPM's focus on health policy, health system governance and the translation of empirical evidence into policy action. The study uses Japan's single national fee schedule and prefecture-specific insurance auditing as a natural experiment to answer a question that is central to any centrally governed, regionally administered health system: when claims-based variation is observed, does it reflect structural determinants of care or artefacts of differential auditing? Our within-prefecture variance decomposition offers a transferable governance framework for distinguishing administrative from structural sources of small-area variation, and our findings carry direct implications for regulation, quality improvement and equity policy under universal coverage.</w:t>
      </w:r>
    </w:p>
    <w:p>
      <w:r>
        <w:rPr>
          <w:rFonts w:ascii="Times New Roman" w:hAnsi="Times New Roman"/>
          <w:b w:val="0"/>
          <w:i w:val="0"/>
          <w:sz w:val="24"/>
        </w:rPr>
        <w:t>Key findings: We studied all 335 secondary medical areas of Japan. Coefficients of variation across areas ranged from 53.7% (general anaesthesia) to 87.2% (epidural anaesthesia). Multilevel modelling showed that only 5.8% of general anaesthesia variance lay between prefectures — where audit policy differs — while 85.5% occurred within prefectures where audit policy is uniform. University hospital presence alone explained 35.8% of total variance and was positive in all 47 prefectures, with a large effect size (Cohen's d 1.88). Three pre-specified sensitivity analyses converged in rejecting differential auditing as a plausible explanation, and empirical Bayes shrinkage confirmed that the findings are robust to low-volume instability. We conclude that the observed variation is predominantly structural and institutional, not administrative, and identify the marked variation in epidural and continuous epidural infusion as a modifiable equity concern under universal coverage.</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IJHPM.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The contribution of artificial intelligence tooling (use of Devin / Cognition AI as a coding assistant for data processing, modelling and visualisation, with all scientific interpretation performed by the human authors) is declared in the Contributorship section of the End-Matter file.</w:t>
      </w:r>
    </w:p>
    <w:p>
      <w:r>
        <w:rPr>
          <w:rFonts w:ascii="Times New Roman" w:hAnsi="Times New Roman"/>
          <w:b w:val="0"/>
          <w:i w:val="0"/>
          <w:sz w:val="24"/>
        </w:rPr>
        <w:t>The manuscript is within the IJHPM length requirements for an Original Research Article (main text approximately 3,400 words; structured abstract within 300 words; 3 tables, 2 figures; 30 references). We have uploaded the title page, anonymised main manuscript, End-Matter (Contributorship, Ethics, Funding, Conflict of interests, Acknowledgments, Data Availability) and STROBE checklist as separate files in accordance with the journal's submission requirements.</w:t>
      </w:r>
    </w:p>
    <w:p>
      <w:r>
        <w:rPr>
          <w:rFonts w:ascii="Times New Roman" w:hAnsi="Times New Roman"/>
          <w:b w:val="0"/>
          <w:i w:val="0"/>
          <w:sz w:val="24"/>
        </w:rPr>
        <w:t>We believe our work will be of substantive interest to IJHPM's international audience of health policy researchers and decision-makers,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