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9752</w:t>
      </w:r>
    </w:p>
    <w:p>
      <w:pPr>
        <w:jc w:val="center"/>
      </w:pPr>
      <w:r>
        <w:t>Corresponding author: [To be completed at submission]</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10190.39 and a conservative, non-standard MAPE of 129.0%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The analysis is bundled with a pre-extracted cohort and a stratified sample of works (OpenAlex snapshot extracted on 2026-08-09); the country-to-civilisation mapping, code, and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smoothing with a pseudocount of 1 for each possible destination,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1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Overall accuracy is RMSE 10190.39 and MAPE 129.0%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model identifies 5 observed threshold-crossing group-years, mostly in the smallest civilisations. </w:t>
      </w:r>
      <w:r>
        <w:t>These metrics confirm that the annual layer is useful for directional and threshold-crossing surveillance, not for precise population counts.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formed from the title and reflecting the research base at Shiga University.</w:t>
      </w:r>
    </w:p>
    <w:p>
      <w:r>
        <w:t>Table 9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9.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9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