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Targeted regulation without collateral damage</w:t>
      </w:r>
    </w:p>
    <w:p/>
    <w:p>
      <w:pPr>
        <w:jc w:val="center"/>
      </w:pPr>
      <w:r>
        <w:rPr>
          <w:b/>
          <w:sz w:val="28"/>
        </w:rPr>
        <w:t>Targeted environmental regulation without collateral market damage: the EU desflurane ban and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19</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Environmental regulations targeting specific anaesthetic agents are increasing, yet whether such targeted restrictions produce collateral economic effects on non-regulated equipment markets remains unknown. The European Union prohibition of desflurane for routine anaesthesia (Regulation (EU) 2024/573, effective 1 January 2026) provides the first opportunity to examine this question, because structurally similar but non-regulated agents (sevoflurane, isoflurane) serve as natural controls.</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 and between-agent z-test for independent effect sizes.</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Between-agent comparison confirmed the agent-specificity of the decline: the desflurane effect size was significantly larger than that of sevoflurane (Δd=-0.64, P=0.043).</w:t>
      </w:r>
    </w:p>
    <w:p>
      <w:r>
        <w:rPr>
          <w:b/>
          <w:i/>
          <w:sz w:val="22"/>
        </w:rPr>
        <w:t xml:space="preserve">Conclusions: </w:t>
      </w:r>
      <w:r>
        <w:rPr>
          <w:b w:val="0"/>
          <w:i w:val="0"/>
          <w:sz w:val="22"/>
        </w:rPr>
        <w:t>The EU desflurane regulation achieved agent-specific economic effects: secondary market prices of the targeted agent declined progressively, beginning during the legislative process, whereas prices of non-regulated agents remained stable throughout. This evidence suggests that well-designed, transparently enacted environmental regulation can achieve its intended objectives without destabilising the broader anaesthetic equipment market, providing reassurance for future regulatory initiatives.</w:t>
      </w:r>
    </w:p>
    <w:p>
      <w:r>
        <w:br w:type="page"/>
      </w:r>
    </w:p>
    <w:p>
      <w:pPr>
        <w:pStyle w:val="Heading1"/>
      </w:pPr>
      <w:r>
        <w:rPr>
          <w:color w:val="000000"/>
        </w:rPr>
        <w:t>Introduction</w:t>
      </w:r>
    </w:p>
    <w:p>
      <w:r>
        <w:rPr>
          <w:sz w:val="22"/>
        </w:rPr>
        <w:t>Environmental regulation of healthcare products is accelerating. The European Union prohibited desflurane—the volatile anaesthetic with the highest global warming potential (GWP ≈ 2540 CO₂ equivalents)</w:t>
      </w:r>
      <w:r>
        <w:rPr>
          <w:sz w:val="22"/>
          <w:vertAlign w:val="superscript"/>
        </w:rPr>
        <w:t>1–5</w:t>
      </w:r>
      <w:r>
        <w:rPr>
          <w:sz w:val="22"/>
        </w:rPr>
        <w:t>—for routine use from 1 January 2026 under Regulation (EU) 2024/573.</w:t>
      </w:r>
      <w:r>
        <w:rPr>
          <w:sz w:val="22"/>
          <w:vertAlign w:val="superscript"/>
        </w:rPr>
        <w:t>2</w:t>
      </w:r>
      <w:r>
        <w:rPr>
          <w:sz w:val="22"/>
        </w:rPr>
        <w:t xml:space="preserve"> The American Society of Anesthesiologists has recommended deactivation of central nitrous oxide piping on environmental grounds.</w:t>
      </w:r>
      <w:r>
        <w:rPr>
          <w:sz w:val="22"/>
          <w:vertAlign w:val="superscript"/>
        </w:rPr>
        <w:t>6</w:t>
      </w:r>
      <w:r>
        <w:rPr>
          <w:sz w:val="22"/>
        </w:rPr>
        <w:t xml:space="preserve"> NHS England and NHS Scotland have independently decommissioned desflurane.</w:t>
      </w:r>
      <w:r>
        <w:rPr>
          <w:sz w:val="22"/>
          <w:vertAlign w:val="superscript"/>
        </w:rPr>
        <w:t>7,8</w:t>
      </w:r>
      <w:r>
        <w:rPr>
          <w:sz w:val="22"/>
        </w:rPr>
        <w:t xml:space="preserve"> Each of these measures targets a specific agent or delivery system, yet whether such targeted restrictions produce collateral economic effects on non-targeted equipment markets has not been empirically examined.</w:t>
      </w:r>
    </w:p>
    <w:p>
      <w:r>
        <w:rPr>
          <w:sz w:val="22"/>
        </w:rPr>
        <w:t>The EU desflurane ban provides an ideal natural experiment to address this question, for three reasons. First, only a single agent is targeted; sevoflurane (GWP ≈ 130) and isoflurane (GWP ≈ 510)</w:t>
      </w:r>
      <w:r>
        <w:rPr>
          <w:sz w:val="22"/>
          <w:vertAlign w:val="superscript"/>
        </w:rPr>
        <w:t>9,10</w:t>
      </w:r>
      <w:r>
        <w:rPr>
          <w:sz w:val="22"/>
        </w:rPr>
        <w:t xml:space="preserve"> remain in unrestricted use and serve as natural controls. Second, the regulatory process advanced through clearly dated milestones — European Commission proposal (April 2022), European Parliament plenary vote (March 2023), trilogue provisional agreement (October 2023), formal adoption (February 2024) and prohibition (January 2026) — enabling time-series analysis across successive phases. Third, anaesthetic vaporisers are agent-specific capital assets with typical lifespans of 10–15 years, so the economic consequences of regulation are directly reflected in secondary market values.</w:t>
      </w:r>
    </w:p>
    <w:p>
      <w:r>
        <w:rPr>
          <w:sz w:val="22"/>
        </w:rPr>
        <w:t>Previous studies have addressed the financial rationale for discontinuing desflurane,</w:t>
      </w:r>
      <w:r>
        <w:rPr>
          <w:sz w:val="22"/>
          <w:vertAlign w:val="superscript"/>
        </w:rPr>
        <w:t>11</w:t>
      </w:r>
      <w:r>
        <w:rPr>
          <w:sz w:val="22"/>
        </w:rPr>
        <w:t xml:space="preserve"> the clinical and policy implications of decommissioning programmes,</w:t>
      </w:r>
      <w:r>
        <w:rPr>
          <w:sz w:val="22"/>
          <w:vertAlign w:val="superscript"/>
        </w:rPr>
        <w:t>12,13</w:t>
      </w:r>
      <w:r>
        <w:rPr>
          <w:sz w:val="22"/>
        </w:rPr>
        <w:t xml:space="preserve"> the effectiveness of vaporiser removal at the institutional level,</w:t>
      </w:r>
      <w:r>
        <w:rPr>
          <w:sz w:val="22"/>
          <w:vertAlign w:val="superscript"/>
        </w:rPr>
        <w:t>14</w:t>
      </w:r>
      <w:r>
        <w:rPr>
          <w:sz w:val="22"/>
        </w:rPr>
        <w:t xml:space="preserve"> and the cost savings from reduced volatile anaesthetic consumption.</w:t>
      </w:r>
      <w:r>
        <w:rPr>
          <w:sz w:val="22"/>
          <w:vertAlign w:val="superscript"/>
        </w:rPr>
        <w:t>15,16</w:t>
      </w:r>
      <w:r>
        <w:rPr>
          <w:sz w:val="22"/>
        </w:rPr>
        <w:t xml:space="preserve"> The secondary market for pre-owned medical equipment has been characterised for other device categories.</w:t>
      </w:r>
      <w:r>
        <w:rPr>
          <w:sz w:val="22"/>
          <w:vertAlign w:val="superscript"/>
        </w:rPr>
        <w:t>17</w:t>
      </w:r>
      <w:r>
        <w:rPr>
          <w:sz w:val="22"/>
        </w:rPr>
        <w:t xml:space="preserve"> However, to our knowledge, no study has examined whether environmental regulation of a single anaesthetic agent produces targeted economic effects or whether it destabilises the broader equipment market.</w:t>
      </w:r>
    </w:p>
    <w:p>
      <w:r>
        <w:rPr>
          <w:sz w:val="22"/>
        </w:rPr>
        <w:t>We hypothesised that (1) the EU desflurane regulation would be associated with a progressive decline in secondary market prices of desflurane vaporisers, and (2) this decline would be agent-specific—sevoflurane and isoflurane vaporiser prices would remain stable, indicating that the regulation produced targeted economic effects without collateral market damage.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18</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sz w:val="22"/>
        </w:rPr>
        <w:t>[Insert Table 1 here]</w:t>
      </w:r>
    </w:p>
    <w:p/>
    <w:p>
      <w:r>
        <w:rPr>
          <w:b/>
          <w:i/>
          <w:sz w:val="22"/>
        </w:rPr>
        <w:t>[Insert Table 2 here]</w:t>
      </w:r>
    </w:p>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 (Table 1).</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 (Table 2, Panel A).</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Between-agent comparison directly tested whether the price decline extended beyond the regulated agent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(Table S1;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 single anaesthetic agent can achieve targeted economic effects on the secondary equipment market without collateral damage to non-regulated agents. Desflurane vaporiser prices declined progressively over three years, with the decline accelerating through successive regulatory milestones, while sevoflurane and isoflurane vaporiser prices remained stable throughout—despite being traded on the same marketplace and subject to the same macroeconomic conditions. The convergence of evidence from Spearman rank correlation (P&lt;0.001 for desflurane, P=0.86 for sevoflurane), Kendall τ (P=0.049 vs P=0.36) and the between-agent effect size comparison (P=0.043) indicates a robust, progressive and agent-specific price decline.</w:t>
      </w:r>
    </w:p>
    <w:p>
      <w:r>
        <w:t>The absence of collateral damage is the central finding. One of the most common objections to targeted regulation is that restricting a single product destabilises the broader market—through supply-chain disruption, panic purchasing of alternatives, or generalised loss of confidence in equipment longevity. Our data refute this concern for the EU desflurane ban: between-agent comparison showed a significant difference only between the regulated agent and sevoflurane (Δd=−0.64, P=0.043), while the two non-regulated agents were indistinguishable from each other (Δd=+0.33, P=0.17). The regulation operated surgically, affecting only its intended target.</w:t>
      </w:r>
    </w:p>
    <w:p>
      <w:r>
        <w:rPr>
          <w:sz w:val="22"/>
        </w:rPr>
        <w:t>To our knowledge, no previous study has examined the secondary market impact of environmental regulation on anaesthetic equipment. Lehmann et al.</w:t>
      </w:r>
      <w:r>
        <w:rPr>
          <w:sz w:val="22"/>
          <w:vertAlign w:val="superscript"/>
        </w:rPr>
        <w:t>14</w:t>
      </w:r>
      <w:r>
        <w:rPr>
          <w:sz w:val="22"/>
        </w:rPr>
        <w:t xml:space="preserve"> demonstrated that combining education with physical removal of desflurane vaporisers reduced desflurane-attributable CO₂ equivalent emissions by 86%, but their study measured drug consumption rather than equipment resale values. Meyer</w:t>
      </w:r>
      <w:r>
        <w:rPr>
          <w:sz w:val="22"/>
          <w:vertAlign w:val="superscript"/>
        </w:rPr>
        <w:t>11</w:t>
      </w:r>
      <w:r>
        <w:rPr>
          <w:sz w:val="22"/>
        </w:rPr>
        <w:t xml:space="preserve"> and Mohammed and Metta</w:t>
      </w:r>
      <w:r>
        <w:rPr>
          <w:sz w:val="22"/>
          <w:vertAlign w:val="superscript"/>
        </w:rPr>
        <w:t>13</w:t>
      </w:r>
      <w:r>
        <w:rPr>
          <w:sz w:val="22"/>
        </w:rPr>
        <w:t xml:space="preserve"> articulated the global and financial rationale for desflurane discontinuation, while Moonesinghe</w:t>
      </w:r>
      <w:r>
        <w:rPr>
          <w:sz w:val="22"/>
          <w:vertAlign w:val="superscript"/>
        </w:rPr>
        <w:t>12</w:t>
      </w:r>
      <w:r>
        <w:rPr>
          <w:sz w:val="22"/>
        </w:rPr>
        <w:t xml:space="preserve"> discussed the broader implications of decommissioning programmes, but none examined downstream effects on the secondary equipment market. Our findings are consistent with the broader economic literature on regulatory obsolescence,</w:t>
      </w:r>
      <w:r>
        <w:rPr>
          <w:sz w:val="22"/>
          <w:vertAlign w:val="superscript"/>
        </w:rPr>
        <w:t>19</w:t>
      </w:r>
      <w:r>
        <w:rPr>
          <w:sz w:val="22"/>
        </w:rPr>
        <w:t xml:space="preserve"> where anticipated government restrictions lead to anticipatory price declines in secondary markets.</w:t>
      </w:r>
    </w:p>
    <w:p>
      <w:r>
        <w:t>Beyond the absence of collateral damage, the timing of the price decline has practical implications. A substantial proportion of the depreciation occurred before the ban took effect, during the legislative process itself. For anaesthesia departments, this means that early compliance with well-designed regulation is not merely a legal obligation but an economic advantage: institutions that transitioned away from desflurane during the consultative or legislative phase—rather than waiting for formal prohibition—would have achieved meaningfully better cost recovery on the secondary market. The capital thus preserved could be redirected toward modern equipment for alternative agents, widening the range of available anaesthetic options and, ultimately, supporting the quality of patient care.</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rPr>
          <w:sz w:val="22"/>
        </w:rPr>
        <w:t>Looking ahead, environmental pressures are likely to prompt further regulatory interventions in anaesthesia and healthcare more broadly. Nitrous oxide, for example, is already subject to emerging regulatory and institutional restrictions on environmental grounds.</w:t>
      </w:r>
      <w:r>
        <w:rPr>
          <w:sz w:val="22"/>
          <w:vertAlign w:val="superscript"/>
        </w:rPr>
        <w:t>6</w:t>
      </w:r>
      <w:r>
        <w:rPr>
          <w:sz w:val="22"/>
        </w:rPr>
        <w:t xml:space="preserve"> Our findings provide a reassuring precedent: the EU desflurane ban—the first mandatory, agent-specific environmental restriction in anaesthesia—achieved its intended economic effects without destabilising the wider equipment market. The progressive nature of the depreciation, beginning as soon as regulatory signals emerged, further implies that secondary market data may serve as an early economic indicator for future regulatory impact assessments.</w:t>
      </w:r>
    </w:p>
    <w:p>
      <w:pPr>
        <w:pStyle w:val="Heading1"/>
      </w:pPr>
      <w:r>
        <w:rPr>
          <w:color w:val="000000"/>
        </w:rPr>
        <w:t>Conclusion</w:t>
      </w:r>
    </w:p>
    <w:p>
      <w:r>
        <w:t>The EU desflurane ban—the first mandatory environmental restriction on a specific anaesthetic agent—produced a progressive, agent-specific decline in secondary market vaporiser prices while leaving the broader anaesthetic equipment market undisturbed. These findings demonstrate that targeted, transparently enacted environmental regulation can achieve its intended economic effects without collateral damage. As environmental pressures lead to further regulatory interventions in anaesthesia and healthcare more broadly, this evidence provides reassurance that well-designed regulation need not destabilise the wider equipment landscape.</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American Society of Anesthesiologists Committee on Environmental Health. Statement on deactivating central piped nitrous oxide to mitigate avoidable health care pollution. Schaumburg, IL: ASA, 2024.</w:t>
      </w:r>
    </w:p>
    <w:p>
      <w:pPr>
        <w:spacing w:after="80"/>
      </w:pPr>
      <w:r>
        <w:rPr>
          <w:sz w:val="20"/>
          <w:vertAlign w:val="superscript"/>
        </w:rPr>
        <w:t xml:space="preserve">7 </w:t>
      </w:r>
      <w:r>
        <w:rPr>
          <w:sz w:val="20"/>
        </w:rPr>
        <w:t>McGain F, Muret J, Guen CL, et al. Environmental sustainability in anaesthesia and critical care. Br J Anaesth 2020; 125: 680–92.</w:t>
      </w:r>
    </w:p>
    <w:p>
      <w:pPr>
        <w:spacing w:after="80"/>
      </w:pPr>
      <w:r>
        <w:rPr>
          <w:sz w:val="20"/>
          <w:vertAlign w:val="superscript"/>
        </w:rPr>
        <w:t xml:space="preserve">8 </w:t>
      </w:r>
      <w:r>
        <w:rPr>
          <w:sz w:val="20"/>
        </w:rPr>
        <w:t>NHS England. Decommissioning of desflurane in the NHS. 2023.</w:t>
      </w:r>
    </w:p>
    <w:p>
      <w:pPr>
        <w:spacing w:after="80"/>
      </w:pPr>
      <w:r>
        <w:rPr>
          <w:sz w:val="20"/>
          <w:vertAlign w:val="superscript"/>
        </w:rPr>
        <w:t xml:space="preserve">9 </w:t>
      </w:r>
      <w:r>
        <w:rPr>
          <w:sz w:val="20"/>
        </w:rPr>
        <w:t>Sulbaek Andersen MP, Sander SP, Nielsen OJ, et al. Inhalation anaesthetics and climate change. Br J Anaesth 2010; 105: 760–6.</w:t>
      </w:r>
    </w:p>
    <w:p>
      <w:pPr>
        <w:spacing w:after="80"/>
      </w:pPr>
      <w:r>
        <w:rPr>
          <w:sz w:val="20"/>
          <w:vertAlign w:val="superscript"/>
        </w:rPr>
        <w:t xml:space="preserve">10 </w:t>
      </w:r>
      <w:r>
        <w:rPr>
          <w:sz w:val="20"/>
        </w:rPr>
        <w:t>Ryan SM, Nielsen CJ. Global warming potential of inhaled anesthetics: application to clinical use. Anesth Analg 2010; 111: 92–8.</w:t>
      </w:r>
    </w:p>
    <w:p>
      <w:pPr>
        <w:spacing w:after="80"/>
      </w:pPr>
      <w:r>
        <w:rPr>
          <w:sz w:val="20"/>
          <w:vertAlign w:val="superscript"/>
        </w:rPr>
        <w:t xml:space="preserve">11 </w:t>
      </w:r>
      <w:r>
        <w:rPr>
          <w:sz w:val="20"/>
        </w:rPr>
        <w:t>Meyer MJ. Desflurane should des-appear: global and financial rationale. Anesth Analg 2020; 131: 1317–22.</w:t>
      </w:r>
    </w:p>
    <w:p>
      <w:pPr>
        <w:spacing w:after="80"/>
      </w:pPr>
      <w:r>
        <w:rPr>
          <w:sz w:val="20"/>
          <w:vertAlign w:val="superscript"/>
        </w:rPr>
        <w:t xml:space="preserve">12 </w:t>
      </w:r>
      <w:r>
        <w:rPr>
          <w:sz w:val="20"/>
        </w:rPr>
        <w:t>Moonesinghe SR. Desflurane decommissioning: more than meets the eye. Anaesthesia 2024; 79: 237–41.</w:t>
      </w:r>
    </w:p>
    <w:p>
      <w:pPr>
        <w:spacing w:after="80"/>
      </w:pPr>
      <w:r>
        <w:rPr>
          <w:sz w:val="20"/>
          <w:vertAlign w:val="superscript"/>
        </w:rPr>
        <w:t xml:space="preserve">13 </w:t>
      </w:r>
      <w:r>
        <w:rPr>
          <w:sz w:val="20"/>
        </w:rPr>
        <w:t>Mohammed A, Metta H. Is it time to bid adieu to desflurane? J Anaesthesiol Clin Pharmacol 2025; 41: 211–2.</w:t>
      </w:r>
    </w:p>
    <w:p>
      <w:pPr>
        <w:spacing w:after="80"/>
      </w:pPr>
      <w:r>
        <w:rPr>
          <w:sz w:val="20"/>
          <w:vertAlign w:val="superscript"/>
        </w:rPr>
        <w:t xml:space="preserve">14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15 </w:t>
      </w:r>
      <w:r>
        <w:rPr>
          <w:sz w:val="20"/>
        </w:rPr>
        <w:t>Rauchenwald V, Heuss-Azeez R, Ganter MT, et al. Sevoflurane versus desflurane—an economic analysis. BMC Anesthesiol 2020; 20: 272.</w:t>
      </w:r>
    </w:p>
    <w:p>
      <w:pPr>
        <w:spacing w:after="80"/>
      </w:pPr>
      <w:r>
        <w:rPr>
          <w:sz w:val="20"/>
          <w:vertAlign w:val="superscript"/>
        </w:rPr>
        <w:t xml:space="preserve">16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17 </w:t>
      </w:r>
      <w:r>
        <w:rPr>
          <w:sz w:val="20"/>
        </w:rPr>
        <w:t>Buckhead Fair Market Value. 2025 Benchmark Report on Pre-Owned Medical Equipment Prices. Atlanta, GA: BFMV, 2025.</w:t>
      </w:r>
    </w:p>
    <w:p>
      <w:pPr>
        <w:spacing w:after="80"/>
      </w:pPr>
      <w:r>
        <w:rPr>
          <w:sz w:val="20"/>
          <w:vertAlign w:val="superscript"/>
        </w:rPr>
        <w:t xml:space="preserve">18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19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sz w:val="22"/>
        </w:rPr>
        <w:t>[Insert Table S1 here — uploaded as separate file]</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