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jc w:val="center"/>
      </w:pPr>
      <w:r>
        <w:rPr>
          <w:rFonts w:ascii="Times New Roman" w:hAnsi="Times New Roman" w:eastAsia="MS Mincho"/>
          <w:b/>
          <w:i w:val="0"/>
          <w:sz w:val="32"/>
        </w:rPr>
        <w:t>WHAT THE SOLOW RESIDUAL HAS BEEN HIDING: TEMPO DRIFT AND THE MISSING INTANGIBLE SHARE IN NATIONAL CAPITAL STOCKS</w:t>
      </w:r>
    </w:p>
    <w:p>
      <w:pPr>
        <w:spacing w:after="120" w:line="480" w:lineRule="auto"/>
        <w:ind w:firstLine="480"/>
      </w:pPr>
      <w:r>
        <w:rPr>
          <w:rFonts w:ascii="Times New Roman" w:hAnsi="Times New Roman" w:eastAsia="MS Mincho"/>
          <w:b/>
          <w:i w:val="0"/>
          <w:sz w:val="24"/>
        </w:rPr>
        <w:t>Tatsuki Onishi</w:t>
      </w:r>
    </w:p>
    <w:p>
      <w:pPr>
        <w:spacing w:after="120" w:line="480" w:lineRule="auto"/>
        <w:ind w:firstLine="480"/>
      </w:pPr>
      <w:r>
        <w:rPr>
          <w:rFonts w:ascii="Times New Roman" w:hAnsi="Times New Roman" w:eastAsia="MS Mincho"/>
          <w:b w:val="0"/>
          <w:i w:val="0"/>
          <w:sz w:val="24"/>
        </w:rPr>
        <w:t>Data Science AI Innovation Research Promotion Center, Shiga University</w:t>
      </w:r>
    </w:p>
    <w:p>
      <w:pPr>
        <w:spacing w:after="120" w:line="480" w:lineRule="auto"/>
        <w:ind w:firstLine="480"/>
      </w:pPr>
      <w:r>
        <w:rPr>
          <w:rFonts w:ascii="Times New Roman" w:hAnsi="Times New Roman" w:eastAsia="MS Mincho"/>
          <w:b w:val="0"/>
          <w:i w:val="0"/>
          <w:sz w:val="24"/>
        </w:rPr>
        <w:t>1-1-1, Bamba, Hikone, Shiga, 522-8522 Japan</w:t>
      </w:r>
    </w:p>
    <w:p>
      <w:pPr>
        <w:spacing w:after="120" w:line="480" w:lineRule="auto"/>
        <w:ind w:firstLine="480"/>
      </w:pPr>
      <w:r>
        <w:rPr>
          <w:rFonts w:ascii="Times New Roman" w:hAnsi="Times New Roman" w:eastAsia="MS Mincho"/>
          <w:b w:val="0"/>
          <w:i w:val="0"/>
          <w:sz w:val="24"/>
        </w:rPr>
        <w:t>Telephone: +81-749-27-1023. E-mail: bougtoir@gmail.com. ORCID: 0000-0001-7261-9062.</w:t>
      </w:r>
    </w:p>
    <w:p>
      <w:pPr>
        <w:spacing w:after="120" w:line="480" w:lineRule="auto"/>
        <w:ind w:firstLine="480"/>
      </w:pPr>
      <w:r>
        <w:rPr>
          <w:rFonts w:ascii="Times New Roman" w:hAnsi="Times New Roman" w:eastAsia="MS Mincho"/>
          <w:b/>
          <w:i w:val="0"/>
          <w:sz w:val="24"/>
        </w:rPr>
        <w:t>Keywords</w:t>
      </w:r>
      <w:r>
        <w:rPr>
          <w:rFonts w:ascii="Times New Roman" w:hAnsi="Times New Roman" w:eastAsia="MS Mincho"/>
          <w:b w:val="0"/>
          <w:i w:val="0"/>
          <w:sz w:val="24"/>
        </w:rPr>
        <w:t>: Solow residual; time-to-build; intangible capital; growth accounting; national wealth.</w:t>
      </w:r>
    </w:p>
    <w:p>
      <w:pPr>
        <w:spacing w:after="120" w:line="480" w:lineRule="auto"/>
        <w:ind w:firstLine="480"/>
      </w:pPr>
      <w:r>
        <w:rPr>
          <w:rFonts w:ascii="Times New Roman" w:hAnsi="Times New Roman" w:eastAsia="MS Mincho"/>
          <w:b/>
          <w:i w:val="0"/>
          <w:sz w:val="24"/>
        </w:rPr>
        <w:t>JEL codes</w:t>
      </w:r>
      <w:r>
        <w:rPr>
          <w:rFonts w:ascii="Times New Roman" w:hAnsi="Times New Roman" w:eastAsia="MS Mincho"/>
          <w:b w:val="0"/>
          <w:i w:val="0"/>
          <w:sz w:val="24"/>
        </w:rPr>
        <w:t>: E01; E22; O47.</w:t>
      </w:r>
    </w:p>
    <w:p>
      <w:pPr>
        <w:spacing w:after="120" w:line="480" w:lineRule="auto"/>
        <w:ind w:firstLine="480"/>
      </w:pPr>
      <w:r>
        <w:rPr>
          <w:rFonts w:ascii="Times New Roman" w:hAnsi="Times New Roman" w:eastAsia="MS Mincho"/>
          <w:b/>
          <w:i w:val="0"/>
          <w:sz w:val="24"/>
        </w:rPr>
        <w:t>Statements and Declarations</w:t>
      </w:r>
    </w:p>
    <w:p>
      <w:pPr>
        <w:spacing w:after="120" w:line="480" w:lineRule="auto"/>
        <w:ind w:firstLine="480"/>
      </w:pPr>
      <w:r>
        <w:rPr>
          <w:rFonts w:ascii="Times New Roman" w:hAnsi="Times New Roman" w:eastAsia="MS Mincho"/>
          <w:b w:val="0"/>
          <w:i/>
          <w:sz w:val="24"/>
        </w:rPr>
        <w:t>Competing interests.</w:t>
      </w:r>
      <w:r>
        <w:rPr>
          <w:rFonts w:ascii="Times New Roman" w:hAnsi="Times New Roman" w:eastAsia="MS Mincho"/>
          <w:b w:val="0"/>
          <w:i w:val="0"/>
          <w:sz w:val="24"/>
        </w:rPr>
        <w:t xml:space="preserve"> The author declares no competing interests.</w:t>
      </w:r>
    </w:p>
    <w:p>
      <w:pPr>
        <w:spacing w:after="120" w:line="480" w:lineRule="auto"/>
        <w:ind w:firstLine="480"/>
      </w:pPr>
      <w:r>
        <w:rPr>
          <w:rFonts w:ascii="Times New Roman" w:hAnsi="Times New Roman" w:eastAsia="MS Mincho"/>
          <w:b w:val="0"/>
          <w:i/>
          <w:sz w:val="24"/>
        </w:rPr>
        <w:t>Funding.</w:t>
      </w:r>
      <w:r>
        <w:rPr>
          <w:rFonts w:ascii="Times New Roman" w:hAnsi="Times New Roman" w:eastAsia="MS Mincho"/>
          <w:b w:val="0"/>
          <w:i w:val="0"/>
          <w:sz w:val="24"/>
        </w:rPr>
        <w:t xml:space="preserve"> No external funding was received for this research.</w:t>
      </w:r>
    </w:p>
    <w:p>
      <w:pPr>
        <w:spacing w:after="120" w:line="480" w:lineRule="auto"/>
        <w:ind w:firstLine="480"/>
      </w:pPr>
      <w:r>
        <w:rPr>
          <w:rFonts w:ascii="Times New Roman" w:hAnsi="Times New Roman" w:eastAsia="MS Mincho"/>
          <w:b w:val="0"/>
          <w:i/>
          <w:sz w:val="24"/>
        </w:rPr>
        <w:t>Data and code availability.</w:t>
      </w:r>
      <w:r>
        <w:rPr>
          <w:rFonts w:ascii="Times New Roman" w:hAnsi="Times New Roman" w:eastAsia="MS Mincho"/>
          <w:b w:val="0"/>
          <w:i w:val="0"/>
          <w:sz w:val="24"/>
        </w:rPr>
        <w:t xml:space="preserve">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 (https://github.com/bougtoir/gdp-tempo-paper).</w:t>
      </w:r>
    </w:p>
    <w:p>
      <w:pPr>
        <w:spacing w:after="120" w:line="480" w:lineRule="auto"/>
        <w:ind w:firstLine="480"/>
      </w:pPr>
      <w:r>
        <w:rPr>
          <w:rFonts w:ascii="Times New Roman" w:hAnsi="Times New Roman" w:eastAsia="MS Mincho"/>
          <w:b w:val="0"/>
          <w:i/>
          <w:sz w:val="24"/>
        </w:rPr>
        <w:t>Use of AI tools.</w:t>
      </w:r>
      <w:r>
        <w:rPr>
          <w:rFonts w:ascii="Times New Roman" w:hAnsi="Times New Roman" w:eastAsia="MS Mincho"/>
          <w:b w:val="0"/>
          <w:i w:val="0"/>
          <w:sz w:val="24"/>
        </w:rPr>
        <w:t xml:space="preserve"> The author used generative AI to assist with formatting the text, choosing words that suited the tone, and writing analysis code. The author reviewed and edited the content as needed and takes full responsibility for the content of the published article.</w:t>
      </w:r>
    </w:p>
    <w:p>
      <w:pPr>
        <w:spacing w:after="120" w:line="480" w:lineRule="auto"/>
        <w:ind w:firstLine="480"/>
      </w:pPr>
      <w:r>
        <w:rPr>
          <w:rFonts w:ascii="Times New Roman" w:hAnsi="Times New Roman" w:eastAsia="MS Mincho"/>
          <w:b/>
          <w:i w:val="0"/>
          <w:sz w:val="24"/>
        </w:rPr>
        <w:t>Abstract.</w:t>
      </w:r>
      <w:r>
        <w:rPr>
          <w:rFonts w:ascii="Times New Roman" w:hAnsi="Times New Roman" w:eastAsia="MS Mincho"/>
          <w:b w:val="0"/>
          <w:i w:val="0"/>
          <w:sz w:val="24"/>
        </w:rPr>
        <w:t xml:space="preserve"> A measurable share of what conventional growth accounting calls total factor productivity (TFP) is a book-keeping artefact: it reflects a drifting time-to-build parameter </w:t>
      </w:r>
      <w:r>
        <w:rPr>
          <w:rFonts w:ascii="Times New Roman" w:hAnsi="Times New Roman" w:eastAsia="MS Mincho"/>
          <w:b w:val="0"/>
          <w:i/>
          <w:sz w:val="24"/>
        </w:rPr>
        <w:t>μ</w:t>
      </w:r>
      <w:r>
        <w:rPr>
          <w:rFonts w:ascii="Times New Roman" w:hAnsi="Times New Roman" w:eastAsia="MS Mincho"/>
          <w:b w:val="0"/>
          <w:i w:val="0"/>
          <w:sz w:val="24"/>
        </w:rPr>
        <w:t xml:space="preserve">(t) and an omitted intangible-capital share </w:t>
      </w:r>
      <w:r>
        <w:rPr>
          <w:rFonts w:ascii="Times New Roman" w:hAnsi="Times New Roman" w:eastAsia="MS Mincho"/>
          <w:b w:val="0"/>
          <w:i/>
          <w:sz w:val="24"/>
        </w:rPr>
        <w:t>β</w:t>
      </w:r>
      <w:r>
        <w:rPr>
          <w:rFonts w:ascii="Times New Roman" w:hAnsi="Times New Roman" w:eastAsia="MS Mincho"/>
          <w:b w:val="0"/>
          <w:i w:val="0"/>
          <w:sz w:val="24"/>
        </w:rPr>
        <w:t xml:space="preserve"> that official statistics set to zero. Across 39 OECD and middle-income economies (Penn World Table 10.01, World Bank CWON, 1995–2019), letting </w:t>
      </w:r>
      <w:r>
        <w:rPr>
          <w:rFonts w:ascii="Times New Roman" w:hAnsi="Times New Roman" w:eastAsia="MS Mincho"/>
          <w:b w:val="0"/>
          <w:i/>
          <w:sz w:val="24"/>
        </w:rPr>
        <w:t>μ</w:t>
      </w:r>
      <w:r>
        <w:rPr>
          <w:rFonts w:ascii="Times New Roman" w:hAnsi="Times New Roman" w:eastAsia="MS Mincho"/>
          <w:b w:val="0"/>
          <w:i w:val="0"/>
          <w:sz w:val="24"/>
        </w:rPr>
        <w:t xml:space="preserve"> drift and </w:t>
      </w:r>
      <w:r>
        <w:rPr>
          <w:rFonts w:ascii="Times New Roman" w:hAnsi="Times New Roman" w:eastAsia="MS Mincho"/>
          <w:b w:val="0"/>
          <w:i/>
          <w:sz w:val="24"/>
        </w:rPr>
        <w:t>β</w:t>
      </w:r>
      <w:r>
        <w:rPr>
          <w:rFonts w:ascii="Times New Roman" w:hAnsi="Times New Roman" w:eastAsia="MS Mincho"/>
          <w:b w:val="0"/>
          <w:i w:val="0"/>
          <w:sz w:val="24"/>
        </w:rPr>
        <w:t xml:space="preserve"> enter the production function jointly reduces the out-of-sample GDP-level forecast error from 4.60% to 3.99% — a 13% relative improvement obtained without new data or stochastic machinery. A Solow-residual decomposition shows that up to 30% of TFP-growth variance is attributable to tempo drift alone. Counterfactual wealth calculations indicate that official produced-capital figures understate intangible-adjusted wealth by 0.3–1.1% for high-R&amp;D economies. These corrections reconcile production-side (flow) and wealth-side (stock) national accounts to within 1–2% for most countries, resolving a long-standing tension in the Beyond-GDP debate.</w:t>
      </w:r>
    </w:p>
    <w:p>
      <w:pPr>
        <w:spacing w:after="120" w:line="480" w:lineRule="auto"/>
        <w:ind w:firstLine="480"/>
      </w:pPr>
      <w:r>
        <w:rPr>
          <w:rFonts w:ascii="Times New Roman" w:hAnsi="Times New Roman" w:eastAsia="MS Mincho"/>
          <w:b/>
          <w:i w:val="0"/>
          <w:sz w:val="24"/>
        </w:rPr>
        <w:t>Keywords</w:t>
      </w:r>
      <w:r>
        <w:rPr>
          <w:rFonts w:ascii="Times New Roman" w:hAnsi="Times New Roman" w:eastAsia="MS Mincho"/>
          <w:b w:val="0"/>
          <w:i w:val="0"/>
          <w:sz w:val="24"/>
        </w:rPr>
        <w:t>: Solow residual; time-to-build; intangible capital; growth accounting; national wealth.</w:t>
      </w:r>
    </w:p>
    <w:p>
      <w:pPr>
        <w:spacing w:after="120" w:line="480" w:lineRule="auto"/>
        <w:ind w:firstLine="480"/>
      </w:pPr>
      <w:r>
        <w:rPr>
          <w:rFonts w:ascii="Times New Roman" w:hAnsi="Times New Roman" w:eastAsia="MS Mincho"/>
          <w:b/>
          <w:i w:val="0"/>
          <w:sz w:val="24"/>
        </w:rPr>
        <w:t>JEL codes</w:t>
      </w:r>
      <w:r>
        <w:rPr>
          <w:rFonts w:ascii="Times New Roman" w:hAnsi="Times New Roman" w:eastAsia="MS Mincho"/>
          <w:b w:val="0"/>
          <w:i w:val="0"/>
          <w:sz w:val="24"/>
        </w:rPr>
        <w:t>: E01, E22, O47.</w:t>
      </w:r>
    </w:p>
    <w:p>
      <w:pPr>
        <w:spacing w:before="360" w:after="120" w:line="480" w:lineRule="auto"/>
        <w:jc w:val="center"/>
      </w:pPr>
      <w:r>
        <w:rPr>
          <w:rFonts w:ascii="Times New Roman" w:hAnsi="Times New Roman" w:eastAsia="MS Mincho"/>
          <w:b/>
          <w:i w:val="0"/>
          <w:sz w:val="28"/>
        </w:rPr>
        <w:t>INTRODUCTION</w:t>
      </w:r>
    </w:p>
    <w:p>
      <w:pPr>
        <w:spacing w:after="120" w:line="480" w:lineRule="auto"/>
        <w:ind w:firstLine="480"/>
      </w:pPr>
      <w:r>
        <w:rPr>
          <w:rFonts w:ascii="Times New Roman" w:hAnsi="Times New Roman" w:eastAsia="MS Mincho"/>
          <w:b w:val="0"/>
          <w:i w:val="0"/>
          <w:sz w:val="24"/>
        </w:rPr>
        <w:t>Since Solow (1957), the residual in growth accounting has been treated as an index of technological progress. Half a century of refinements — sector-specific capital, human capital, utilisation adjustments — has shrunk the residual somewhat, but TFP growth still absorbs a substantial, poorly understood component of output variation. This paper shows that a measurable share of what has been called TFP is a book-keeping artefact created by two parameters that conventional growth accounting sets to zero.</w:t>
      </w:r>
    </w:p>
    <w:p>
      <w:pPr>
        <w:spacing w:after="120" w:line="480" w:lineRule="auto"/>
        <w:ind w:firstLine="480"/>
      </w:pPr>
      <w:r>
        <w:rPr>
          <w:rFonts w:ascii="Times New Roman" w:hAnsi="Times New Roman" w:eastAsia="MS Mincho"/>
          <w:b w:val="0"/>
          <w:i w:val="0"/>
          <w:sz w:val="24"/>
        </w:rPr>
        <w:t xml:space="preserve">The first parameter is the time-varying investment-to-output lag, </w:t>
      </w:r>
      <w:r>
        <w:rPr>
          <w:rFonts w:ascii="Times New Roman" w:hAnsi="Times New Roman" w:eastAsia="MS Mincho"/>
          <w:b w:val="0"/>
          <w:i/>
          <w:sz w:val="24"/>
        </w:rPr>
        <w:t>μ</w:t>
      </w:r>
      <w:r>
        <w:rPr>
          <w:rFonts w:ascii="Times New Roman" w:hAnsi="Times New Roman" w:eastAsia="MS Mincho"/>
          <w:b w:val="0"/>
          <w:i w:val="0"/>
          <w:sz w:val="24"/>
        </w:rPr>
        <w:t>(t). The standard perpetual inventory method (PIM) assumes that investment becomes productive instantaneously (</w:t>
      </w:r>
      <w:r>
        <w:rPr>
          <w:rFonts w:ascii="Times New Roman" w:hAnsi="Times New Roman" w:eastAsia="MS Mincho"/>
          <w:b w:val="0"/>
          <w:i/>
          <w:sz w:val="24"/>
        </w:rPr>
        <w:t>μ</w:t>
      </w:r>
      <w:r>
        <w:rPr>
          <w:rFonts w:ascii="Times New Roman" w:hAnsi="Times New Roman" w:eastAsia="MS Mincho"/>
          <w:b w:val="0"/>
          <w:i w:val="0"/>
          <w:sz w:val="24"/>
        </w:rPr>
        <w:t xml:space="preserve"> = 0) or with a fixed, time-invariant lag. Yet the composition of investment has shifted decisively toward long-lead assets — custom software, cloud infrastructure, pharmaceutical R&amp;D, and complex engineering systems — whose gestation periods differ by nearly an order of magnitude from the plant-and-equipment on which the original lag literature was calibrated (OECD, 2013; Corrado et al., 2020). If </w:t>
      </w:r>
      <w:r>
        <w:rPr>
          <w:rFonts w:ascii="Times New Roman" w:hAnsi="Times New Roman" w:eastAsia="MS Mincho"/>
          <w:b w:val="0"/>
          <w:i/>
          <w:sz w:val="24"/>
        </w:rPr>
        <w:t>μ</w:t>
      </w:r>
      <w:r>
        <w:rPr>
          <w:rFonts w:ascii="Times New Roman" w:hAnsi="Times New Roman" w:eastAsia="MS Mincho"/>
          <w:b w:val="0"/>
          <w:i w:val="0"/>
          <w:sz w:val="24"/>
        </w:rPr>
        <w:t xml:space="preserve"> has been rising but is treated as zero, the PIM capital stock is mis-timed and the Solow residual absorbs the error. The second parameter is 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Corrado, Hulten, and Sichel (2005, 2009) have shown that intangible investment is quantitatively large, yet official wealth accounts — including the World Bank Changing Wealth of Nations (CWON; Lange, Wodon, and Carey, 2018) — still exclude most intangibles from produced capital. When </w:t>
      </w:r>
      <w:r>
        <w:rPr>
          <w:rFonts w:ascii="Times New Roman" w:hAnsi="Times New Roman" w:eastAsia="MS Mincho"/>
          <w:b w:val="0"/>
          <w:i/>
          <w:sz w:val="24"/>
        </w:rPr>
        <w:t>β</w:t>
      </w:r>
      <w:r>
        <w:rPr>
          <w:rFonts w:ascii="Times New Roman" w:hAnsi="Times New Roman" w:eastAsia="MS Mincho"/>
          <w:b w:val="0"/>
          <w:i w:val="0"/>
          <w:sz w:val="24"/>
        </w:rPr>
        <w:t xml:space="preserve"> is forced to zero, the missing capital again inflates TFP.</w:t>
      </w:r>
    </w:p>
    <w:p>
      <w:pPr>
        <w:spacing w:after="120" w:line="480" w:lineRule="auto"/>
        <w:ind w:firstLine="480"/>
      </w:pPr>
      <w:r>
        <w:rPr>
          <w:rFonts w:ascii="Times New Roman" w:hAnsi="Times New Roman" w:eastAsia="MS Mincho"/>
          <w:b w:val="0"/>
          <w:i w:val="0"/>
          <w:sz w:val="24"/>
        </w:rPr>
        <w:t xml:space="preserve">We identify both parameters simultaneously, exploiting a structural analogy with population statistics. Bongaarts and Feeney (1998) showed that a drifting mean age at childbearing depresses measured period fertility even when completed fertility is constant; Goldstein, Lutz, and Scherbov (2003) showed that adding a single "forgotten" parity-specific variance parameter resolves the discrepancy. The same mathematics applies, under a precise change of variables, to capital accounting (Table 2): investment plays the role of births, the PIM capital stock plays the role of the population stock, </w:t>
      </w:r>
      <w:r>
        <w:rPr>
          <w:rFonts w:ascii="Times New Roman" w:hAnsi="Times New Roman" w:eastAsia="MS Mincho"/>
          <w:b w:val="0"/>
          <w:i/>
          <w:sz w:val="24"/>
        </w:rPr>
        <w:t>μ</w:t>
      </w:r>
      <w:r>
        <w:rPr>
          <w:rFonts w:ascii="Times New Roman" w:hAnsi="Times New Roman" w:eastAsia="MS Mincho"/>
          <w:b w:val="0"/>
          <w:i w:val="0"/>
          <w:sz w:val="24"/>
        </w:rPr>
        <w:t xml:space="preserve">(t) is the analogue of the mean age at childbearing, and </w:t>
      </w:r>
      <w:r>
        <w:rPr>
          <w:rFonts w:ascii="Times New Roman" w:hAnsi="Times New Roman" w:eastAsia="MS Mincho"/>
          <w:b w:val="0"/>
          <w:i/>
          <w:sz w:val="24"/>
        </w:rPr>
        <w:t>β</w:t>
      </w:r>
      <w:r>
        <w:rPr>
          <w:rFonts w:ascii="Times New Roman" w:hAnsi="Times New Roman" w:eastAsia="MS Mincho"/>
          <w:b w:val="0"/>
          <w:i w:val="0"/>
          <w:sz w:val="24"/>
        </w:rPr>
        <w:t xml:space="preserve"> is the analogue of the forgotten variance.</w:t>
      </w:r>
    </w:p>
    <w:p>
      <w:pPr>
        <w:spacing w:after="120" w:line="480" w:lineRule="auto"/>
        <w:ind w:firstLine="480"/>
      </w:pPr>
      <w:r>
        <w:rPr>
          <w:rFonts w:ascii="Times New Roman" w:hAnsi="Times New Roman" w:eastAsia="MS Mincho"/>
          <w:b w:val="0"/>
          <w:i w:val="0"/>
          <w:sz w:val="24"/>
        </w:rPr>
        <w:t xml:space="preserve">Our contribution is three-fold. First, we estimate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jointly across 39 OECD and middle-income economies (Penn World Table 10.01, World Bank CWON, 1995–2019) and show that the time-varying </w:t>
      </w:r>
      <w:r>
        <w:rPr>
          <w:rFonts w:ascii="Times New Roman" w:hAnsi="Times New Roman" w:eastAsia="MS Mincho"/>
          <w:b w:val="0"/>
          <w:i/>
          <w:sz w:val="24"/>
        </w:rPr>
        <w:t>μ</w:t>
      </w:r>
      <w:r>
        <w:rPr>
          <w:rFonts w:ascii="Times New Roman" w:hAnsi="Times New Roman" w:eastAsia="MS Mincho"/>
          <w:b w:val="0"/>
          <w:i w:val="0"/>
          <w:sz w:val="24"/>
        </w:rPr>
        <w:t>(t) reduces the out-of-sample GDP-level forecast error from 4.60 % to 3.99 %, a 13 % relative improvement obtained without new data or stochastic machinery. Second, a Solow-residual decomposition reveals that tempo drift alone accounts for up to 30 % of TFP-growth variance in some countries, and counterfactual wealth calculations show that official produced-capital figures understate intangible-adjusted wealth by 0.3–1.1 % in high-R&amp;D economies. Third, the joint corrections reconcile production-side (flow) and wealth-side (stock) national accounts to within 1–2 % for most countries, which to our knowledge is the first empirical success of the "unified national-wealth accounting" programme that Stiglitz, Sen, and Fitoussi (2009) called for.</w:t>
      </w:r>
    </w:p>
    <w:p>
      <w:pPr>
        <w:spacing w:after="120" w:line="480" w:lineRule="auto"/>
        <w:ind w:firstLine="480"/>
      </w:pPr>
      <w:r>
        <w:rPr>
          <w:rFonts w:ascii="Times New Roman" w:hAnsi="Times New Roman" w:eastAsia="MS Mincho"/>
          <w:b w:val="0"/>
          <w:i w:val="0"/>
          <w:sz w:val="24"/>
        </w:rPr>
        <w:t>The remainder of the paper is organised as follows. Section II reviews the capital-accounting, intangibles, and tempo-demography literatures. Section III develops the theory. Section IV describes the data and methods and defines five models M0–M4 of increasing generality. Section V reports results, including the Solow-residual decomposition and counterfactual wealth simulation. Section VI discusses policy implications and the Beyond-GDP debate. Section VII concludes.</w:t>
      </w:r>
    </w:p>
    <w:p>
      <w:pPr>
        <w:spacing w:before="360" w:after="120" w:line="480" w:lineRule="auto"/>
        <w:jc w:val="center"/>
      </w:pPr>
      <w:r>
        <w:rPr>
          <w:rFonts w:ascii="Times New Roman" w:hAnsi="Times New Roman" w:eastAsia="MS Mincho"/>
          <w:b/>
          <w:i w:val="0"/>
          <w:sz w:val="28"/>
        </w:rPr>
        <w:t>II RELATED LITERATURE</w:t>
      </w:r>
    </w:p>
    <w:p>
      <w:pPr>
        <w:spacing w:after="120" w:line="480" w:lineRule="auto"/>
        <w:ind w:firstLine="480"/>
      </w:pPr>
      <w:r>
        <w:rPr>
          <w:rFonts w:ascii="Times New Roman" w:hAnsi="Times New Roman" w:eastAsia="MS Mincho"/>
          <w:b/>
          <w:i w:val="0"/>
          <w:sz w:val="24"/>
        </w:rPr>
        <w:t>Capital accounting and time-to-build.</w:t>
      </w:r>
      <w:r>
        <w:rPr>
          <w:rFonts w:ascii="Times New Roman" w:hAnsi="Times New Roman" w:eastAsia="MS Mincho"/>
          <w:b w:val="0"/>
          <w:i w:val="0"/>
          <w:sz w:val="24"/>
        </w:rPr>
        <w:t xml:space="preserve"> Since Kydland and Prescott (1982) it has been standard practice to insert a multi-period investment lag into business-cycle models. Empirical estimates are overwhelmingly based on fixed lag structures: a single </w:t>
      </w:r>
      <w:r>
        <w:rPr>
          <w:rFonts w:ascii="Times New Roman" w:hAnsi="Times New Roman" w:eastAsia="MS Mincho"/>
          <w:b w:val="0"/>
          <w:i/>
          <w:sz w:val="24"/>
        </w:rPr>
        <w:t>μ</w:t>
      </w:r>
      <w:r>
        <w:rPr>
          <w:rFonts w:ascii="Times New Roman" w:hAnsi="Times New Roman" w:eastAsia="MS Mincho"/>
          <w:b w:val="0"/>
          <w:i w:val="0"/>
          <w:sz w:val="24"/>
        </w:rPr>
        <w:t xml:space="preserve"> is estimated once for an entire sample, or a small number of regime-dependent </w:t>
      </w:r>
      <w:r>
        <w:rPr>
          <w:rFonts w:ascii="Times New Roman" w:hAnsi="Times New Roman" w:eastAsia="MS Mincho"/>
          <w:b w:val="0"/>
          <w:i/>
          <w:sz w:val="24"/>
        </w:rPr>
        <w:t>μ</w:t>
      </w:r>
      <w:r>
        <w:rPr>
          <w:rFonts w:ascii="Times New Roman" w:hAnsi="Times New Roman" w:eastAsia="MS Mincho"/>
          <w:b w:val="0"/>
          <w:i w:val="0"/>
          <w:sz w:val="24"/>
        </w:rPr>
        <w:t xml:space="preserve">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w:t>
      </w:r>
      <w:r>
        <w:rPr>
          <w:rFonts w:ascii="Times New Roman" w:hAnsi="Times New Roman" w:eastAsia="MS Mincho"/>
          <w:b w:val="0"/>
          <w:i/>
          <w:sz w:val="24"/>
        </w:rPr>
        <w:t>μ</w:t>
      </w:r>
      <w:r>
        <w:rPr>
          <w:rFonts w:ascii="Times New Roman" w:hAnsi="Times New Roman" w:eastAsia="MS Mincho"/>
          <w:b w:val="0"/>
          <w:i w:val="0"/>
          <w:sz w:val="24"/>
        </w:rPr>
        <w:t xml:space="preserve">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480" w:lineRule="auto"/>
        <w:ind w:firstLine="480"/>
      </w:pPr>
      <w:r>
        <w:rPr>
          <w:rFonts w:ascii="Times New Roman" w:hAnsi="Times New Roman" w:eastAsia="MS Mincho"/>
          <w:b/>
          <w:i w:val="0"/>
          <w:sz w:val="24"/>
        </w:rPr>
        <w:t>Intangible capital.</w:t>
      </w:r>
      <w:r>
        <w:rPr>
          <w:rFonts w:ascii="Times New Roman" w:hAnsi="Times New Roman" w:eastAsia="MS Mincho"/>
          <w:b w:val="0"/>
          <w:i w:val="0"/>
          <w:sz w:val="24"/>
        </w:rPr>
        <w:t xml:space="preserve">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2023).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De Rassenfosse and Jaffe (2018) and Haskel and Westlake (2017, 2022) emphasise that this omission biases not only the level of measured capital but also the implied productivity growth rate whenever the intangible share is expanding — exactly the setting of our 1995-2019 sample. Importantly, the intangible share </w:t>
      </w:r>
      <w:r>
        <w:rPr>
          <w:rFonts w:ascii="Times New Roman" w:hAnsi="Times New Roman" w:eastAsia="MS Mincho"/>
          <w:b w:val="0"/>
          <w:i/>
          <w:sz w:val="24"/>
        </w:rPr>
        <w:t>β</w:t>
      </w:r>
      <w:r>
        <w:rPr>
          <w:rFonts w:ascii="Times New Roman" w:hAnsi="Times New Roman" w:eastAsia="MS Mincho"/>
          <w:b w:val="0"/>
          <w:i w:val="0"/>
          <w:sz w:val="24"/>
        </w:rPr>
        <w:t xml:space="preserve"> is not a global constant: Japan, Germany, and some East-Asian economies retain a smaller intangible share than the United States even under harmonised measurement (Corrado et al., 2020), so </w:t>
      </w:r>
      <w:r>
        <w:rPr>
          <w:rFonts w:ascii="Times New Roman" w:hAnsi="Times New Roman" w:eastAsia="MS Mincho"/>
          <w:b w:val="0"/>
          <w:i/>
          <w:sz w:val="24"/>
        </w:rPr>
        <w:t>β</w:t>
      </w:r>
      <w:r>
        <w:rPr>
          <w:rFonts w:ascii="Times New Roman" w:hAnsi="Times New Roman" w:eastAsia="MS Mincho"/>
          <w:b w:val="0"/>
          <w:i w:val="0"/>
          <w:sz w:val="24"/>
        </w:rPr>
        <w:t xml:space="preserve"> ought to be a country-specific parameter, which is how we treat it in Section IV.</w:t>
      </w:r>
    </w:p>
    <w:p>
      <w:pPr>
        <w:spacing w:after="120" w:line="480" w:lineRule="auto"/>
        <w:ind w:firstLine="480"/>
      </w:pPr>
      <w:r>
        <w:rPr>
          <w:rFonts w:ascii="Times New Roman" w:hAnsi="Times New Roman" w:eastAsia="MS Mincho"/>
          <w:b/>
          <w:i w:val="0"/>
          <w:sz w:val="24"/>
        </w:rPr>
        <w:t>Wealth accounting.</w:t>
      </w:r>
      <w:r>
        <w:rPr>
          <w:rFonts w:ascii="Times New Roman" w:hAnsi="Times New Roman" w:eastAsia="MS Mincho"/>
          <w:b w:val="0"/>
          <w:i w:val="0"/>
          <w:sz w:val="24"/>
        </w:rPr>
        <w:t xml:space="preserve">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480" w:lineRule="auto"/>
        <w:ind w:firstLine="480"/>
      </w:pPr>
      <w:r>
        <w:rPr>
          <w:rFonts w:ascii="Times New Roman" w:hAnsi="Times New Roman" w:eastAsia="MS Mincho"/>
          <w:b/>
          <w:i w:val="0"/>
          <w:sz w:val="24"/>
        </w:rPr>
        <w:t>Tempo and forgotten parameters in demography.</w:t>
      </w:r>
      <w:r>
        <w:rPr>
          <w:rFonts w:ascii="Times New Roman" w:hAnsi="Times New Roman" w:eastAsia="MS Mincho"/>
          <w:b w:val="0"/>
          <w:i w:val="0"/>
          <w:sz w:val="24"/>
        </w:rPr>
        <w:t xml:space="preserve"> Bongaarts and Feeney (1998) introduced the adjustment </w:t>
      </w:r>
      <w:r>
        <w:rPr>
          <w:rFonts w:ascii="Times New Roman" w:hAnsi="Times New Roman" w:eastAsia="MS Mincho"/>
          <w:b w:val="0"/>
          <w:i/>
          <w:sz w:val="24"/>
        </w:rPr>
        <w:t>TFR</w:t>
      </w:r>
      <w:r>
        <w:rPr>
          <w:rFonts w:ascii="Times New Roman" w:hAnsi="Times New Roman" w:eastAsia="MS Mincho"/>
          <w:b w:val="0"/>
          <w:i/>
          <w:sz w:val="24"/>
        </w:rPr>
        <w:t xml:space="preserve"> = </w:t>
      </w:r>
      <w:r>
        <w:rPr>
          <w:rFonts w:ascii="Times New Roman" w:hAnsi="Times New Roman" w:eastAsia="MS Mincho"/>
          <w:b w:val="0"/>
          <w:i w:val="0"/>
          <w:sz w:val="24"/>
        </w:rPr>
        <w:t>TFR</w:t>
      </w:r>
      <w:r>
        <w:rPr>
          <w:rFonts w:ascii="Times New Roman" w:hAnsi="Times New Roman" w:eastAsia="MS Mincho"/>
          <w:b w:val="0"/>
          <w:i/>
          <w:sz w:val="24"/>
        </w:rPr>
        <w:t xml:space="preserve">/(1 − </w:t>
      </w:r>
      <w:r>
        <w:rPr>
          <w:rFonts w:ascii="Times New Roman" w:hAnsi="Times New Roman" w:eastAsia="MS Mincho"/>
          <w:b w:val="0"/>
          <w:i w:val="0"/>
          <w:sz w:val="24"/>
        </w:rPr>
        <w:t>r(t)</w:t>
      </w:r>
      <w:r>
        <w:rPr>
          <w:rFonts w:ascii="Times New Roman" w:hAnsi="Times New Roman" w:eastAsia="MS Mincho"/>
          <w:b w:val="0"/>
          <w:i/>
          <w:sz w:val="24"/>
        </w:rPr>
        <w:t xml:space="preserve">) where </w:t>
      </w:r>
      <w:r>
        <w:rPr>
          <w:rFonts w:ascii="Times New Roman" w:hAnsi="Times New Roman" w:eastAsia="MS Mincho"/>
          <w:b w:val="0"/>
          <w:i w:val="0"/>
          <w:sz w:val="24"/>
        </w:rPr>
        <w:t xml:space="preserve">r(t)* is the annual change in the mean age at childbearing. Goldstein, Lutz, and Scherbov (2003) showed that Bongaarts-Feeney was an upper bound unless a parity-specific "forgotten" variance </w:t>
      </w:r>
      <w:r>
        <w:rPr>
          <w:rFonts w:ascii="Times New Roman" w:hAnsi="Times New Roman" w:eastAsia="MS Mincho"/>
          <w:b w:val="0"/>
          <w:i/>
          <w:sz w:val="24"/>
        </w:rPr>
        <w:t>σ</w:t>
      </w:r>
      <w:r>
        <w:rPr>
          <w:rFonts w:ascii="Times New Roman" w:hAnsi="Times New Roman" w:eastAsia="MS Mincho"/>
          <w:b w:val="0"/>
          <w:i w:val="0"/>
          <w:sz w:val="24"/>
        </w:rPr>
        <w:t xml:space="preserve">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480" w:lineRule="auto"/>
        <w:ind w:firstLine="480"/>
      </w:pPr>
      <w:r>
        <w:rPr>
          <w:rFonts w:ascii="Times New Roman" w:hAnsi="Times New Roman" w:eastAsia="MS Mincho"/>
          <w:b/>
          <w:i w:val="0"/>
          <w:sz w:val="24"/>
        </w:rPr>
        <w:t>Healthcare and human capital sustainability.</w:t>
      </w:r>
      <w:r>
        <w:rPr>
          <w:rFonts w:ascii="Times New Roman" w:hAnsi="Times New Roman" w:eastAsia="MS Mincho"/>
          <w:b w:val="0"/>
          <w:i w:val="0"/>
          <w:sz w:val="24"/>
        </w:rPr>
        <w:t xml:space="preserve"> A companion paper (in preparation) documents that the lag </w:t>
      </w:r>
      <w:r>
        <w:rPr>
          <w:rFonts w:ascii="Times New Roman" w:hAnsi="Times New Roman" w:eastAsia="MS Mincho"/>
          <w:b w:val="0"/>
          <w:i/>
          <w:sz w:val="24"/>
        </w:rPr>
        <w:t>μ</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from medical expenditure to life-expectancy outcomes has been rising by roughly 0.15 years per year since 2000, and that an analogous "forgotten" parameter </w:t>
      </w:r>
      <w:r>
        <w:rPr>
          <w:rFonts w:ascii="Times New Roman" w:hAnsi="Times New Roman" w:eastAsia="MS Mincho"/>
          <w:b w:val="0"/>
          <w:i/>
          <w:sz w:val="24"/>
        </w:rPr>
        <w:t>β</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 the share of expenditure directed to prevention and R&amp;D, as opposed to curative care — accounts for a further share of the US-Japan life-expectancy gap. That paper exploits exactly the same quantum-tempo decomposition developed here.</w:t>
      </w:r>
    </w:p>
    <w:p>
      <w:pPr>
        <w:spacing w:after="120" w:line="480" w:lineRule="auto"/>
        <w:ind w:firstLine="480"/>
      </w:pPr>
      <w:r>
        <w:rPr>
          <w:rFonts w:ascii="Times New Roman" w:hAnsi="Times New Roman" w:eastAsia="MS Mincho"/>
          <w:b/>
          <w:i w:val="0"/>
          <w:sz w:val="24"/>
        </w:rPr>
        <w:t>The gap this paper fills.</w:t>
      </w:r>
      <w:r>
        <w:rPr>
          <w:rFonts w:ascii="Times New Roman" w:hAnsi="Times New Roman" w:eastAsia="MS Mincho"/>
          <w:b w:val="0"/>
          <w:i w:val="0"/>
          <w:sz w:val="24"/>
        </w:rPr>
        <w:t xml:space="preserve">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480" w:lineRule="auto"/>
        <w:jc w:val="center"/>
      </w:pPr>
      <w:r>
        <w:rPr>
          <w:rFonts w:ascii="Times New Roman" w:hAnsi="Times New Roman" w:eastAsia="MS Mincho"/>
          <w:b/>
          <w:i w:val="0"/>
          <w:sz w:val="28"/>
        </w:rPr>
        <w:t>III THEORY</w:t>
      </w:r>
    </w:p>
    <w:p>
      <w:pPr>
        <w:spacing w:before="360" w:after="120" w:line="480" w:lineRule="auto"/>
      </w:pPr>
      <w:r>
        <w:rPr>
          <w:rFonts w:ascii="Times New Roman" w:hAnsi="Times New Roman" w:eastAsia="MS Mincho"/>
          <w:b/>
          <w:i w:val="0"/>
          <w:sz w:val="24"/>
        </w:rPr>
        <w:t>III.1 Flow-side production function with tempo</w:t>
      </w:r>
    </w:p>
    <w:p>
      <w:pPr>
        <w:spacing w:after="120" w:line="480" w:lineRule="auto"/>
        <w:ind w:firstLine="480"/>
      </w:pPr>
      <w:r>
        <w:rPr>
          <w:rFonts w:ascii="Times New Roman" w:hAnsi="Times New Roman" w:eastAsia="MS Mincho"/>
          <w:b w:val="0"/>
          <w:i w:val="0"/>
          <w:sz w:val="24"/>
        </w:rPr>
        <w:t>The textbook production function treats investment as if it matures instantly:</w:t>
      </w:r>
    </w:p>
    <w:p>
      <w:pPr>
        <w:spacing w:before="240" w:after="240" w:line="480" w:lineRule="auto"/>
        <w:ind w:firstLine="0"/>
        <w:jc w:val="center"/>
        <w:tabs>
          <w:tab w:val="right" w:pos="9072" w:leader="none"/>
        </w:tabs>
      </w:pP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 xml:space="preserve">nstant(t)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K</w:t>
      </w:r>
      <w:r>
        <w:rPr>
          <w:rFonts w:ascii="Times New Roman" w:hAnsi="Times New Roman" w:eastAsia="MS Mincho"/>
          <w:b w:val="0"/>
          <w:i/>
          <w:sz w:val="24"/>
          <w:vertAlign w:val="subscript"/>
        </w:rPr>
        <w:t>i</w:t>
      </w:r>
      <w:r>
        <w:rPr>
          <w:rFonts w:ascii="Times New Roman" w:hAnsi="Times New Roman" w:eastAsia="MS Mincho"/>
          <w:b w:val="0"/>
          <w:i/>
          <w:sz w:val="24"/>
        </w:rPr>
        <w:t>nstant(t−1) + I</w:t>
      </w:r>
      <w:r>
        <w:rPr>
          <w:rFonts w:ascii="Times New Roman" w:hAnsi="Times New Roman" w:eastAsia="MS Mincho"/>
          <w:b w:val="0"/>
          <w:i/>
          <w:sz w:val="24"/>
          <w:vertAlign w:val="subscript"/>
        </w:rPr>
        <w:t>t-1</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(M0)</w:t>
      </w:r>
    </w:p>
    <w:p>
      <w:pPr>
        <w:spacing w:after="120" w:line="48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before="240" w:after="240" w:line="480" w:lineRule="auto"/>
        <w:ind w:firstLine="0"/>
        <w:jc w:val="center"/>
        <w:tabs>
          <w:tab w:val="right" w:pos="9072" w:leader="none"/>
        </w:tabs>
      </w:pPr>
      <w:r>
        <w:rPr>
          <w:rFonts w:ascii="Times New Roman" w:hAnsi="Times New Roman" w:eastAsia="MS Mincho"/>
          <w:b w:val="0"/>
          <w:i/>
          <w:sz w:val="24"/>
        </w:rPr>
        <w:t xml:space="preserve">K(t; </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xml:space="preserve">) K(t−1;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Σ</w:t>
      </w:r>
      <w:r>
        <w:rPr>
          <w:rFonts w:ascii="Times New Roman" w:hAnsi="Times New Roman" w:eastAsia="MS Mincho"/>
          <w:b w:val="0"/>
          <w:i/>
          <w:sz w:val="24"/>
        </w:rPr>
        <w:t>ₛ 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I</w:t>
      </w:r>
      <w:r>
        <w:rPr>
          <w:rFonts w:ascii="Times New Roman" w:hAnsi="Times New Roman" w:eastAsia="MS Mincho"/>
          <w:b w:val="0"/>
          <w:i/>
          <w:sz w:val="24"/>
          <w:vertAlign w:val="subscript"/>
        </w:rPr>
        <w:t>t-1-s</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(M1)</w:t>
      </w:r>
    </w:p>
    <w:p>
      <w:pPr>
        <w:spacing w:after="120" w:line="480" w:lineRule="auto"/>
        <w:ind w:firstLine="480"/>
      </w:pPr>
      <w:r>
        <w:rPr>
          <w:rFonts w:ascii="Times New Roman" w:hAnsi="Times New Roman" w:eastAsia="MS Mincho"/>
          <w:b w:val="0"/>
          <w:i w:val="0"/>
          <w:sz w:val="24"/>
        </w:rPr>
        <w:t xml:space="preserve">with geometric weights </w:t>
      </w:r>
      <w:r>
        <w:rPr>
          <w:rFonts w:ascii="Times New Roman" w:hAnsi="Times New Roman" w:eastAsia="MS Mincho"/>
          <w:b w:val="0"/>
          <w:i/>
          <w:sz w:val="24"/>
        </w:rPr>
        <w:t>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θ</w:t>
      </w:r>
      <w:r>
        <w:rPr>
          <w:rFonts w:ascii="Times New Roman" w:hAnsi="Times New Roman" w:eastAsia="MS Mincho"/>
          <w:b w:val="0"/>
          <w:i/>
          <w:sz w:val="24"/>
        </w:rPr>
        <w:t>)·</w:t>
      </w:r>
      <w:r>
        <w:rPr>
          <w:rFonts w:ascii="Times New Roman" w:hAnsi="Times New Roman" w:eastAsia="MS Mincho"/>
          <w:b w:val="0"/>
          <w:i/>
          <w:sz w:val="24"/>
        </w:rPr>
        <w:t>θ</w:t>
      </w:r>
      <w:r>
        <w:rPr>
          <w:rFonts w:ascii="Times New Roman" w:hAnsi="Times New Roman" w:eastAsia="MS Mincho"/>
          <w:b w:val="0"/>
          <w:i/>
          <w:sz w:val="24"/>
          <w:vertAlign w:val="superscript"/>
        </w:rPr>
        <w:t>s</w:t>
      </w:r>
      <w:r>
        <w:rPr>
          <w:rFonts w:ascii="Times New Roman" w:hAnsi="Times New Roman" w:eastAsia="MS Mincho"/>
          <w:b w:val="0"/>
          <w:i w:val="0"/>
          <w:sz w:val="24"/>
        </w:rPr>
        <w:t xml:space="preserve"> and </w:t>
      </w:r>
      <w:r>
        <w:rPr>
          <w:rFonts w:ascii="Times New Roman" w:hAnsi="Times New Roman" w:eastAsia="MS Mincho"/>
          <w:b w:val="0"/>
          <w:i/>
          <w:sz w:val="24"/>
        </w:rPr>
        <w:t>θ</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sz w:val="24"/>
        </w:rPr>
        <w:t>/(1+</w:t>
      </w:r>
      <w:r>
        <w:rPr>
          <w:rFonts w:ascii="Times New Roman" w:hAnsi="Times New Roman" w:eastAsia="MS Mincho"/>
          <w:b w:val="0"/>
          <w:i/>
          <w:sz w:val="24"/>
        </w:rPr>
        <w:t>μ</w:t>
      </w:r>
      <w:r>
        <w:rPr>
          <w:rFonts w:ascii="Times New Roman" w:hAnsi="Times New Roman" w:eastAsia="MS Mincho"/>
          <w:b w:val="0"/>
          <w:i/>
          <w:sz w:val="24"/>
        </w:rPr>
        <w:t>)</w:t>
      </w:r>
      <w:r>
        <w:rPr>
          <w:rFonts w:ascii="Times New Roman" w:hAnsi="Times New Roman" w:eastAsia="MS Mincho"/>
          <w:b w:val="0"/>
          <w:i w:val="0"/>
          <w:sz w:val="24"/>
        </w:rPr>
        <w:t xml:space="preserve">, so the mean lag is exactly </w:t>
      </w:r>
      <w:r>
        <w:rPr>
          <w:rFonts w:ascii="Times New Roman" w:hAnsi="Times New Roman" w:eastAsia="MS Mincho"/>
          <w:b w:val="0"/>
          <w:i/>
          <w:sz w:val="24"/>
        </w:rPr>
        <w:t>μ</w:t>
      </w:r>
      <w:r>
        <w:rPr>
          <w:rFonts w:ascii="Times New Roman" w:hAnsi="Times New Roman" w:eastAsia="MS Mincho"/>
          <w:b w:val="0"/>
          <w:i w:val="0"/>
          <w:sz w:val="24"/>
        </w:rPr>
        <w:t xml:space="preserve"> years. The key novelty relative to the existing lag literature is to allow </w:t>
      </w:r>
      <w:r>
        <w:rPr>
          <w:rFonts w:ascii="Times New Roman" w:hAnsi="Times New Roman" w:eastAsia="MS Mincho"/>
          <w:b w:val="0"/>
          <w:i/>
          <w:sz w:val="24"/>
        </w:rPr>
        <w:t>μ</w:t>
      </w:r>
      <w:r>
        <w:rPr>
          <w:rFonts w:ascii="Times New Roman" w:hAnsi="Times New Roman" w:eastAsia="MS Mincho"/>
          <w:b w:val="0"/>
          <w:i w:val="0"/>
          <w:sz w:val="24"/>
        </w:rPr>
        <w:t xml:space="preserve"> to drift linearly over time:</w:t>
      </w:r>
    </w:p>
    <w:p>
      <w:pPr>
        <w:spacing w:before="240" w:after="240" w:line="480" w:lineRule="auto"/>
        <w:ind w:firstLine="0"/>
        <w:jc w:val="center"/>
        <w:tabs>
          <w:tab w:val="right" w:pos="9072" w:leader="none"/>
        </w:tabs>
      </w:pPr>
      <w:r>
        <w:rPr>
          <w:rFonts w:ascii="Times New Roman" w:hAnsi="Times New Roman" w:eastAsia="MS Mincho"/>
          <w:b w:val="0"/>
          <w:i/>
          <w:sz w:val="24"/>
        </w:rPr>
        <w:t>μ</w:t>
      </w:r>
      <w:r>
        <w:rPr>
          <w:rFonts w:ascii="Times New Roman" w:hAnsi="Times New Roman" w:eastAsia="MS Mincho"/>
          <w:b w:val="0"/>
          <w:i/>
          <w:sz w:val="24"/>
        </w:rPr>
        <w:t xml:space="preserve">(t) = </w:t>
      </w:r>
      <w:r>
        <w:rPr>
          <w:rFonts w:ascii="Times New Roman" w:hAnsi="Times New Roman" w:eastAsia="MS Mincho"/>
          <w:b w:val="0"/>
          <w:i/>
          <w:sz w:val="24"/>
        </w:rPr>
        <w:t>μ</w:t>
      </w:r>
      <w:r>
        <w:rPr>
          <w:rFonts w:ascii="Times New Roman" w:hAnsi="Times New Roman" w:eastAsia="MS Mincho"/>
          <w:b w:val="0"/>
          <w:i/>
          <w:sz w:val="24"/>
        </w:rPr>
        <w:t xml:space="preserve">₀ + </w:t>
      </w:r>
      <w:r>
        <w:rPr>
          <w:rFonts w:ascii="Times New Roman" w:hAnsi="Times New Roman" w:eastAsia="MS Mincho"/>
          <w:b w:val="0"/>
          <w:i/>
          <w:sz w:val="24"/>
        </w:rPr>
        <w:t>μ</w:t>
      </w:r>
      <w:r>
        <w:rPr>
          <w:rFonts w:ascii="Times New Roman" w:hAnsi="Times New Roman" w:eastAsia="MS Mincho"/>
          <w:b w:val="0"/>
          <w:i/>
          <w:sz w:val="24"/>
        </w:rPr>
        <w:t>₁·(t − t₀),</w:t>
      </w:r>
      <w:r>
        <w:rPr>
          <w:rFonts w:ascii="Times New Roman" w:hAnsi="Times New Roman" w:eastAsia="MS Mincho"/>
          <w:b w:val="0"/>
          <w:i w:val="0"/>
          <w:sz w:val="24"/>
        </w:rPr>
        <w:tab/>
      </w:r>
      <w:r>
        <w:rPr>
          <w:rFonts w:ascii="Times New Roman" w:hAnsi="Times New Roman" w:eastAsia="MS Mincho"/>
          <w:b w:val="0"/>
          <w:i w:val="0"/>
          <w:sz w:val="24"/>
        </w:rPr>
        <w:t>(M2)</w:t>
      </w:r>
    </w:p>
    <w:p>
      <w:pPr>
        <w:spacing w:after="120" w:line="48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μ</w:t>
      </w:r>
      <w:r>
        <w:rPr>
          <w:rFonts w:ascii="Times New Roman" w:hAnsi="Times New Roman" w:eastAsia="MS Mincho"/>
          <w:b w:val="0"/>
          <w:i w:val="0"/>
          <w:sz w:val="24"/>
        </w:rPr>
        <w:t xml:space="preserve">₁ captures the "tempo" in Bongaarts-Feeney's sense. A positive </w:t>
      </w:r>
      <w:r>
        <w:rPr>
          <w:rFonts w:ascii="Times New Roman" w:hAnsi="Times New Roman" w:eastAsia="MS Mincho"/>
          <w:b w:val="0"/>
          <w:i/>
          <w:sz w:val="24"/>
        </w:rPr>
        <w:t>μ</w:t>
      </w:r>
      <w:r>
        <w:rPr>
          <w:rFonts w:ascii="Times New Roman" w:hAnsi="Times New Roman" w:eastAsia="MS Mincho"/>
          <w:b w:val="0"/>
          <w:i w:val="0"/>
          <w:sz w:val="24"/>
        </w:rPr>
        <w:t xml:space="preserve">₁ indicates that typical projects are becoming longer-lived — for example because new investment is increasingly digital infrastructure, R&amp;D platforms, or complex systems that require multi-year assembly — and a negative </w:t>
      </w:r>
      <w:r>
        <w:rPr>
          <w:rFonts w:ascii="Times New Roman" w:hAnsi="Times New Roman" w:eastAsia="MS Mincho"/>
          <w:b w:val="0"/>
          <w:i/>
          <w:sz w:val="24"/>
        </w:rPr>
        <w:t>μ</w:t>
      </w:r>
      <w:r>
        <w:rPr>
          <w:rFonts w:ascii="Times New Roman" w:hAnsi="Times New Roman" w:eastAsia="MS Mincho"/>
          <w:b w:val="0"/>
          <w:i w:val="0"/>
          <w:sz w:val="24"/>
        </w:rPr>
        <w:t>₁ would indicate the opposite.</w:t>
      </w:r>
    </w:p>
    <w:p>
      <w:pPr>
        <w:spacing w:before="360" w:after="120" w:line="480" w:lineRule="auto"/>
      </w:pPr>
      <w:r>
        <w:rPr>
          <w:rFonts w:ascii="Times New Roman" w:hAnsi="Times New Roman" w:eastAsia="MS Mincho"/>
          <w:b/>
          <w:i w:val="0"/>
          <w:sz w:val="24"/>
        </w:rPr>
        <w:t>III.2 Stock-side intangibles: the forgotten β</w:t>
      </w:r>
    </w:p>
    <w:p>
      <w:pPr>
        <w:spacing w:after="120" w:line="480" w:lineRule="auto"/>
        <w:ind w:firstLine="480"/>
      </w:pPr>
      <w:r>
        <w:rPr>
          <w:rFonts w:ascii="Times New Roman" w:hAnsi="Times New Roman" w:eastAsia="MS Mincho"/>
          <w:b w:val="0"/>
          <w:i w:val="0"/>
          <w:sz w:val="24"/>
        </w:rPr>
        <w:t xml:space="preserve">Let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ang(t)</w:t>
      </w:r>
      <w:r>
        <w:rPr>
          <w:rFonts w:ascii="Times New Roman" w:hAnsi="Times New Roman" w:eastAsia="MS Mincho"/>
          <w:b w:val="0"/>
          <w:i w:val="0"/>
          <w:sz w:val="24"/>
        </w:rPr>
        <w:t xml:space="preserve"> be the tangible PIM stock from (M1)–(M2)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be an intangible stock built from R&amp;D expenditure by a geometric PIM with depreciation </w:t>
      </w:r>
      <w:r>
        <w:rPr>
          <w:rFonts w:ascii="Times New Roman" w:hAnsi="Times New Roman" w:eastAsia="MS Mincho"/>
          <w:b w:val="0"/>
          <w:i/>
          <w:sz w:val="24"/>
        </w:rPr>
        <w:t>δ</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 0.15 (Corrado-Hulten-Sichel, 2009). A production function augmented by intangibles reads:</w:t>
      </w:r>
    </w:p>
    <w:p>
      <w:pPr>
        <w:spacing w:before="240" w:after="240" w:line="480" w:lineRule="auto"/>
        <w:ind w:firstLine="0"/>
        <w:jc w:val="center"/>
        <w:tabs>
          <w:tab w:val="right" w:pos="9072" w:leader="none"/>
        </w:tabs>
      </w:pPr>
      <w:r>
        <w:rPr>
          <w:rFonts w:ascii="Times New Roman" w:hAnsi="Times New Roman" w:eastAsia="MS Mincho"/>
          <w:b w:val="0"/>
          <w:i/>
          <w:sz w:val="24"/>
        </w:rPr>
        <w:t>log Y</w:t>
      </w:r>
      <w:r>
        <w:rPr>
          <w:rFonts w:ascii="Times New Roman" w:hAnsi="Times New Roman" w:eastAsia="MS Mincho"/>
          <w:b w:val="0"/>
          <w:i/>
          <w:sz w:val="24"/>
          <w:vertAlign w:val="subscript"/>
        </w:rPr>
        <w:t>t</w:t>
      </w:r>
      <w:r>
        <w:rPr>
          <w:rFonts w:ascii="Times New Roman" w:hAnsi="Times New Roman" w:eastAsia="MS Mincho"/>
          <w:b w:val="0"/>
          <w:i/>
          <w:sz w:val="24"/>
        </w:rPr>
        <w:t xml:space="preserve"> = </w:t>
      </w:r>
      <w:r>
        <w:rPr>
          <w:rFonts w:ascii="Times New Roman" w:hAnsi="Times New Roman" w:eastAsia="MS Mincho"/>
          <w:b w:val="0"/>
          <w:i/>
          <w:sz w:val="24"/>
        </w:rPr>
        <w:t>α</w:t>
      </w:r>
      <w:r>
        <w:rPr>
          <w:rFonts w:ascii="Times New Roman" w:hAnsi="Times New Roman" w:eastAsia="MS Mincho"/>
          <w:b w:val="0"/>
          <w:i/>
          <w:sz w:val="24"/>
        </w:rPr>
        <w:t xml:space="preserve"> log K</w:t>
      </w:r>
      <w:r>
        <w:rPr>
          <w:rFonts w:ascii="Times New Roman" w:hAnsi="Times New Roman" w:eastAsia="MS Mincho"/>
          <w:b w:val="0"/>
          <w:i/>
          <w:sz w:val="24"/>
          <w:vertAlign w:val="subscript"/>
        </w:rPr>
        <w:t>t</w:t>
      </w:r>
      <w:r>
        <w:rPr>
          <w:rFonts w:ascii="Times New Roman" w:hAnsi="Times New Roman" w:eastAsia="MS Mincho"/>
          <w:b w:val="0"/>
          <w:i/>
          <w:sz w:val="24"/>
        </w:rPr>
        <w:t xml:space="preserve">ang(t) + </w:t>
      </w:r>
      <w:r>
        <w:rPr>
          <w:rFonts w:ascii="Times New Roman" w:hAnsi="Times New Roman" w:eastAsia="MS Mincho"/>
          <w:b w:val="0"/>
          <w:i/>
          <w:sz w:val="24"/>
        </w:rPr>
        <w:t>β</w:t>
      </w:r>
      <w:r>
        <w:rPr>
          <w:rFonts w:ascii="Times New Roman" w:hAnsi="Times New Roman" w:eastAsia="MS Mincho"/>
          <w:b w:val="0"/>
          <w:i/>
          <w:sz w:val="24"/>
        </w:rPr>
        <w:t xml:space="preserve"> log K</w:t>
      </w:r>
      <w:r>
        <w:rPr>
          <w:rFonts w:ascii="Times New Roman" w:hAnsi="Times New Roman" w:eastAsia="MS Mincho"/>
          <w:b w:val="0"/>
          <w:i/>
          <w:sz w:val="24"/>
          <w:vertAlign w:val="subscript"/>
        </w:rPr>
        <w:t>I</w:t>
      </w:r>
      <w:r>
        <w:rPr>
          <w:rFonts w:ascii="Times New Roman" w:hAnsi="Times New Roman" w:eastAsia="MS Mincho"/>
          <w:b w:val="0"/>
          <w:i/>
          <w:sz w:val="24"/>
        </w:rPr>
        <w:t xml:space="preserve">(t) + (1 − </w:t>
      </w:r>
      <w:r>
        <w:rPr>
          <w:rFonts w:ascii="Times New Roman" w:hAnsi="Times New Roman" w:eastAsia="MS Mincho"/>
          <w:b w:val="0"/>
          <w:i/>
          <w:sz w:val="24"/>
        </w:rPr>
        <w:t>α</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log L</w:t>
      </w:r>
      <w:r>
        <w:rPr>
          <w:rFonts w:ascii="Times New Roman" w:hAnsi="Times New Roman" w:eastAsia="MS Mincho"/>
          <w:b w:val="0"/>
          <w:i/>
          <w:sz w:val="24"/>
          <w:vertAlign w:val="subscript"/>
        </w:rPr>
        <w:t>t</w:t>
      </w:r>
      <w:r>
        <w:rPr>
          <w:rFonts w:ascii="Times New Roman" w:hAnsi="Times New Roman" w:eastAsia="MS Mincho"/>
          <w:b w:val="0"/>
          <w:i/>
          <w:sz w:val="24"/>
        </w:rPr>
        <w:t xml:space="preserve"> + log A</w:t>
      </w:r>
      <w:r>
        <w:rPr>
          <w:rFonts w:ascii="Times New Roman" w:hAnsi="Times New Roman" w:eastAsia="MS Mincho"/>
          <w:b w:val="0"/>
          <w:i/>
          <w:sz w:val="24"/>
          <w:vertAlign w:val="subscript"/>
        </w:rPr>
        <w:t>t</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(M3)</w:t>
      </w:r>
    </w:p>
    <w:p>
      <w:pPr>
        <w:spacing w:after="120" w:line="48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β</w:t>
      </w:r>
      <w:r>
        <w:rPr>
          <w:rFonts w:ascii="Times New Roman" w:hAnsi="Times New Roman" w:eastAsia="MS Mincho"/>
          <w:b w:val="0"/>
          <w:i w:val="0"/>
          <w:sz w:val="24"/>
        </w:rPr>
        <w:t xml:space="preserve"> is the intangible share. Standard practice imposes </w:t>
      </w:r>
      <w:r>
        <w:rPr>
          <w:rFonts w:ascii="Times New Roman" w:hAnsi="Times New Roman" w:eastAsia="MS Mincho"/>
          <w:b w:val="0"/>
          <w:i/>
          <w:sz w:val="24"/>
        </w:rPr>
        <w:t>β</w:t>
      </w:r>
      <w:r>
        <w:rPr>
          <w:rFonts w:ascii="Times New Roman" w:hAnsi="Times New Roman" w:eastAsia="MS Mincho"/>
          <w:b w:val="0"/>
          <w:i w:val="0"/>
          <w:sz w:val="24"/>
        </w:rPr>
        <w:t xml:space="preserve"> = 0 (Solow; also M0 and M1 here). Estimating </w:t>
      </w:r>
      <w:r>
        <w:rPr>
          <w:rFonts w:ascii="Times New Roman" w:hAnsi="Times New Roman" w:eastAsia="MS Mincho"/>
          <w:b w:val="0"/>
          <w:i/>
          <w:sz w:val="24"/>
        </w:rPr>
        <w:t>β</w:t>
      </w:r>
      <w:r>
        <w:rPr>
          <w:rFonts w:ascii="Times New Roman" w:hAnsi="Times New Roman" w:eastAsia="MS Mincho"/>
          <w:b w:val="0"/>
          <w:i w:val="0"/>
          <w:sz w:val="24"/>
        </w:rPr>
        <w:t xml:space="preserve"> &gt; 0 is the capital-accounting analogue of re-introducing the parity-specific variance </w:t>
      </w:r>
      <w:r>
        <w:rPr>
          <w:rFonts w:ascii="Times New Roman" w:hAnsi="Times New Roman" w:eastAsia="MS Mincho"/>
          <w:b w:val="0"/>
          <w:i/>
          <w:sz w:val="24"/>
        </w:rPr>
        <w:t>σ</w:t>
      </w:r>
      <w:r>
        <w:rPr>
          <w:rFonts w:ascii="Times New Roman" w:hAnsi="Times New Roman" w:eastAsia="MS Mincho"/>
          <w:b w:val="0"/>
          <w:i w:val="0"/>
          <w:sz w:val="24"/>
        </w:rPr>
        <w:t xml:space="preserve"> in Goldstein-Lutz-Scherbov.</w:t>
      </w:r>
    </w:p>
    <w:p>
      <w:pPr>
        <w:spacing w:before="360" w:after="120" w:line="480" w:lineRule="auto"/>
      </w:pPr>
      <w:r>
        <w:rPr>
          <w:rFonts w:ascii="Times New Roman" w:hAnsi="Times New Roman" w:eastAsia="MS Mincho"/>
          <w:b/>
          <w:i w:val="0"/>
          <w:sz w:val="24"/>
        </w:rPr>
        <w:t>III.3 Unifying identity: the flow-stock joint loss</w:t>
      </w:r>
    </w:p>
    <w:p>
      <w:pPr>
        <w:spacing w:after="120" w:line="480" w:lineRule="auto"/>
        <w:ind w:firstLine="480"/>
      </w:pPr>
      <w:r>
        <w:rPr>
          <w:rFonts w:ascii="Times New Roman" w:hAnsi="Times New Roman" w:eastAsia="MS Mincho"/>
          <w:b w:val="0"/>
          <w:i w:val="0"/>
          <w:sz w:val="24"/>
        </w:rPr>
        <w:t xml:space="preserve">Any consistent national wealth aggregate </w:t>
      </w:r>
      <w:r>
        <w:rPr>
          <w:rFonts w:ascii="Times New Roman" w:hAnsi="Times New Roman" w:eastAsia="MS Mincho"/>
          <w:b w:val="0"/>
          <w:i/>
          <w:sz w:val="24"/>
        </w:rPr>
        <w:t>W(t)</w:t>
      </w:r>
      <w:r>
        <w:rPr>
          <w:rFonts w:ascii="Times New Roman" w:hAnsi="Times New Roman" w:eastAsia="MS Mincho"/>
          <w:b w:val="0"/>
          <w:i w:val="0"/>
          <w:sz w:val="24"/>
        </w:rPr>
        <w:t xml:space="preserve"> must satisfy the book-keeping identity</w:t>
      </w:r>
    </w:p>
    <w:p>
      <w:pPr>
        <w:spacing w:before="240" w:after="240" w:line="480" w:lineRule="auto"/>
        <w:ind w:firstLine="0"/>
        <w:jc w:val="center"/>
        <w:tabs>
          <w:tab w:val="right" w:pos="9072" w:leader="none"/>
        </w:tabs>
      </w:pPr>
      <w:r>
        <w:rPr>
          <w:rFonts w:ascii="Times New Roman" w:hAnsi="Times New Roman" w:eastAsia="MS Mincho"/>
          <w:b w:val="0"/>
          <w:i/>
          <w:sz w:val="24"/>
        </w:rPr>
        <w:t xml:space="preserve">dW/dt = S(Y) −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sz w:val="24"/>
        </w:rPr>
        <w:t xml:space="preserve"> · W,</w:t>
      </w:r>
      <w:r>
        <w:rPr>
          <w:rFonts w:ascii="Times New Roman" w:hAnsi="Times New Roman" w:eastAsia="MS Mincho"/>
          <w:b w:val="0"/>
          <w:i w:val="0"/>
          <w:sz w:val="24"/>
        </w:rPr>
        <w:tab/>
      </w:r>
      <w:r>
        <w:rPr>
          <w:rFonts w:ascii="Times New Roman" w:hAnsi="Times New Roman" w:eastAsia="MS Mincho"/>
          <w:b w:val="0"/>
          <w:i w:val="0"/>
          <w:sz w:val="24"/>
        </w:rPr>
        <w:t>(1)</w:t>
      </w:r>
    </w:p>
    <w:p>
      <w:pPr>
        <w:spacing w:after="120" w:line="48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S(Y)</w:t>
      </w:r>
      <w:r>
        <w:rPr>
          <w:rFonts w:ascii="Times New Roman" w:hAnsi="Times New Roman" w:eastAsia="MS Mincho"/>
          <w:b w:val="0"/>
          <w:i w:val="0"/>
          <w:sz w:val="24"/>
        </w:rPr>
        <w:t xml:space="preserve"> is gross saving and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val="0"/>
          <w:sz w:val="24"/>
        </w:rPr>
        <w:t xml:space="preserve"> is the aggregate depreciation rate. Under (1), the same parameters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that govern the production side should also govern the reproducible-capital trajectory implied by the wealth account. We therefore define a single joint loss:</w:t>
      </w:r>
    </w:p>
    <w:p>
      <w:pPr>
        <w:spacing w:before="240" w:after="240" w:line="480" w:lineRule="auto"/>
        <w:ind w:firstLine="0"/>
        <w:jc w:val="center"/>
        <w:tabs>
          <w:tab w:val="right" w:pos="9072" w:leader="none"/>
        </w:tabs>
      </w:pPr>
      <w:r>
        <w:rPr>
          <w:rFonts w:ascii="Times New Roman" w:hAnsi="Times New Roman" w:eastAsia="MS Mincho"/>
          <w:b w:val="0"/>
          <w:i/>
          <w:sz w:val="24"/>
        </w:rPr>
        <w:t>L</w:t>
      </w:r>
      <w:r>
        <w:rPr>
          <w:rFonts w:ascii="Times New Roman" w:hAnsi="Times New Roman" w:eastAsia="MS Mincho"/>
          <w:b w:val="0"/>
          <w:i/>
          <w:sz w:val="24"/>
          <w:vertAlign w:val="subscript"/>
        </w:rPr>
        <w:t>t</w:t>
      </w:r>
      <w:r>
        <w:rPr>
          <w:rFonts w:ascii="Times New Roman" w:hAnsi="Times New Roman" w:eastAsia="MS Mincho"/>
          <w:b w:val="0"/>
          <w:i/>
          <w:sz w:val="24"/>
        </w:rPr>
        <w:t>otal(</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 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xml:space="preserve">) + </w:t>
      </w:r>
      <w:r>
        <w:rPr>
          <w:rFonts w:ascii="Times New Roman" w:hAnsi="Times New Roman" w:eastAsia="MS Mincho"/>
          <w:b w:val="0"/>
          <w:i/>
          <w:sz w:val="24"/>
        </w:rPr>
        <w:t>λ</w:t>
      </w:r>
      <w:r>
        <w:rPr>
          <w:rFonts w:ascii="Times New Roman" w:hAnsi="Times New Roman" w:eastAsia="MS Mincho"/>
          <w:b w:val="0"/>
          <w:i/>
          <w:sz w:val="24"/>
        </w:rPr>
        <w:t xml:space="preserve"> · 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(2)</w:t>
      </w:r>
    </w:p>
    <w:p>
      <w:pPr>
        <w:spacing w:after="120" w:line="48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val="0"/>
          <w:sz w:val="24"/>
        </w:rPr>
        <w:t xml:space="preserve"> is the growth-rate residual from the production function (M3) and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is the within-country trajectory RMSE between the PIM stock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xml:space="preserve">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and the CWON produced-capital series NW.PCA.TO(t). Minimising (2) delivers the "M4 joint" estimates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w:t>
      </w:r>
      <w:r>
        <w:rPr>
          <w:rFonts w:ascii="Times New Roman" w:hAnsi="Times New Roman" w:eastAsia="MS Mincho"/>
          <w:b w:val="0"/>
          <w:i/>
          <w:sz w:val="24"/>
        </w:rPr>
        <w:t>β</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used below; setting </w:t>
      </w:r>
      <w:r>
        <w:rPr>
          <w:rFonts w:ascii="Times New Roman" w:hAnsi="Times New Roman" w:eastAsia="MS Mincho"/>
          <w:b w:val="0"/>
          <w:i/>
          <w:sz w:val="24"/>
        </w:rPr>
        <w:t>λ</w:t>
      </w:r>
      <w:r>
        <w:rPr>
          <w:rFonts w:ascii="Times New Roman" w:hAnsi="Times New Roman" w:eastAsia="MS Mincho"/>
          <w:b w:val="0"/>
          <w:i w:val="0"/>
          <w:sz w:val="24"/>
        </w:rPr>
        <w:t xml:space="preserve"> = 0 recovers production-only estimates.</w:t>
      </w:r>
    </w:p>
    <w:p>
      <w:pPr>
        <w:spacing w:before="360" w:after="120" w:line="480" w:lineRule="auto"/>
      </w:pPr>
      <w:r>
        <w:rPr>
          <w:rFonts w:ascii="Times New Roman" w:hAnsi="Times New Roman" w:eastAsia="MS Mincho"/>
          <w:b/>
          <w:i w:val="0"/>
          <w:sz w:val="24"/>
        </w:rPr>
        <w:t>III.4 Quantum–tempo correspondence between population and capital</w:t>
      </w:r>
    </w:p>
    <w:p>
      <w:pPr>
        <w:spacing w:after="120" w:line="480" w:lineRule="auto"/>
        <w:ind w:firstLine="480"/>
      </w:pPr>
      <w:r>
        <w:rPr>
          <w:rFonts w:ascii="Times New Roman" w:hAnsi="Times New Roman" w:eastAsia="MS Mincho"/>
          <w:b w:val="0"/>
          <w:i w:val="0"/>
          <w:sz w:val="24"/>
        </w:rPr>
        <w:t xml:space="preserve">Table 2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w:t>
      </w:r>
      <w:r>
        <w:rPr>
          <w:rFonts w:ascii="Times New Roman" w:hAnsi="Times New Roman" w:eastAsia="MS Mincho"/>
          <w:b w:val="0"/>
          <w:i/>
          <w:sz w:val="24"/>
        </w:rPr>
        <w:t>σ</w:t>
      </w:r>
      <w:r>
        <w:rPr>
          <w:rFonts w:ascii="Times New Roman" w:hAnsi="Times New Roman" w:eastAsia="MS Mincho"/>
          <w:b w:val="0"/>
          <w:i w:val="0"/>
          <w:sz w:val="24"/>
        </w:rPr>
        <w:t xml:space="preserve"> from fertility tempo (cohort-consistency tests, Brass relational models) have direct analogues in capital accounting, which we exploit.</w:t>
      </w:r>
    </w:p>
    <w:p>
      <w:pPr>
        <w:spacing w:before="360" w:after="120" w:line="480" w:lineRule="auto"/>
      </w:pPr>
      <w:r>
        <w:rPr>
          <w:rFonts w:ascii="Times New Roman" w:hAnsi="Times New Roman" w:eastAsia="MS Mincho"/>
          <w:b/>
          <w:i w:val="0"/>
          <w:sz w:val="24"/>
        </w:rPr>
        <w:t>III.5 Relational PIM: a Brass model for capital accounting</w:t>
      </w:r>
    </w:p>
    <w:p>
      <w:pPr>
        <w:spacing w:after="120" w:line="480" w:lineRule="auto"/>
        <w:ind w:firstLine="480"/>
      </w:pPr>
      <w:r>
        <w:rPr>
          <w:rFonts w:ascii="Times New Roman" w:hAnsi="Times New Roman" w:eastAsia="MS Mincho"/>
          <w:b w:val="0"/>
          <w:i w:val="0"/>
          <w:sz w:val="24"/>
        </w:rPr>
        <w:t xml:space="preserve">Demography has long employed Brass relational models to compare an observed fertility or mortality schedule against a "standard" schedule via a small number of parameters that capture systematic deviations (Brass, 1971). We transplant this idea to capital accounting. Let </w:t>
      </w:r>
      <w:r>
        <w:rPr>
          <w:rFonts w:ascii="Times New Roman" w:hAnsi="Times New Roman" w:eastAsia="MS Mincho"/>
          <w:b w:val="0"/>
          <w:i/>
          <w:sz w:val="24"/>
        </w:rPr>
        <w:t>K</w:t>
      </w:r>
      <w:r>
        <w:rPr>
          <w:rFonts w:ascii="Times New Roman" w:hAnsi="Times New Roman" w:eastAsia="MS Mincho"/>
          <w:b w:val="0"/>
          <w:i/>
          <w:sz w:val="24"/>
          <w:vertAlign w:val="subscript"/>
        </w:rPr>
        <w:t>P</w:t>
      </w:r>
      <w:r>
        <w:rPr>
          <w:rFonts w:ascii="Times New Roman" w:hAnsi="Times New Roman" w:eastAsia="MS Mincho"/>
          <w:b w:val="0"/>
          <w:i/>
          <w:sz w:val="24"/>
        </w:rPr>
        <w:t>IM(t)</w:t>
      </w:r>
      <w:r>
        <w:rPr>
          <w:rFonts w:ascii="Times New Roman" w:hAnsi="Times New Roman" w:eastAsia="MS Mincho"/>
          <w:b w:val="0"/>
          <w:i w:val="0"/>
          <w:sz w:val="24"/>
        </w:rPr>
        <w:t xml:space="preserve"> denote the PIM-constructed stock under any of M0–M4, and let </w:t>
      </w:r>
      <w:r>
        <w:rPr>
          <w:rFonts w:ascii="Times New Roman" w:hAnsi="Times New Roman" w:eastAsia="MS Mincho"/>
          <w:b w:val="0"/>
          <w:i/>
          <w:sz w:val="24"/>
        </w:rPr>
        <w:t>K</w:t>
      </w:r>
      <w:r>
        <w:rPr>
          <w:rFonts w:ascii="Times New Roman" w:hAnsi="Times New Roman" w:eastAsia="MS Mincho"/>
          <w:b w:val="0"/>
          <w:i/>
          <w:sz w:val="24"/>
          <w:vertAlign w:val="subscript"/>
        </w:rPr>
        <w:t>C</w:t>
      </w:r>
      <w:r>
        <w:rPr>
          <w:rFonts w:ascii="Times New Roman" w:hAnsi="Times New Roman" w:eastAsia="MS Mincho"/>
          <w:b w:val="0"/>
          <w:i/>
          <w:sz w:val="24"/>
        </w:rPr>
        <w:t>WON(t)</w:t>
      </w:r>
      <w:r>
        <w:rPr>
          <w:rFonts w:ascii="Times New Roman" w:hAnsi="Times New Roman" w:eastAsia="MS Mincho"/>
          <w:b w:val="0"/>
          <w:i w:val="0"/>
          <w:sz w:val="24"/>
        </w:rPr>
        <w:t xml:space="preserve"> denote CWON produced capital NW.PCA.TO. We define the </w:t>
      </w:r>
      <w:r>
        <w:rPr>
          <w:rFonts w:ascii="Times New Roman" w:hAnsi="Times New Roman" w:eastAsia="MS Mincho"/>
          <w:b/>
          <w:i w:val="0"/>
          <w:sz w:val="24"/>
        </w:rPr>
        <w:t>Relational PIM</w:t>
      </w:r>
      <w:r>
        <w:rPr>
          <w:rFonts w:ascii="Times New Roman" w:hAnsi="Times New Roman" w:eastAsia="MS Mincho"/>
          <w:b w:val="0"/>
          <w:i w:val="0"/>
          <w:sz w:val="24"/>
        </w:rPr>
        <w:t xml:space="preserve"> (RPIM) as:</w:t>
      </w:r>
    </w:p>
    <w:p>
      <w:pPr>
        <w:spacing w:before="240" w:after="240" w:line="480" w:lineRule="auto"/>
        <w:ind w:firstLine="0"/>
        <w:jc w:val="center"/>
        <w:tabs>
          <w:tab w:val="right" w:pos="9072" w:leader="none"/>
        </w:tabs>
      </w:pPr>
      <w:r>
        <w:rPr>
          <w:rFonts w:ascii="Times New Roman" w:hAnsi="Times New Roman" w:eastAsia="MS Mincho"/>
          <w:b w:val="0"/>
          <w:i/>
          <w:sz w:val="24"/>
        </w:rPr>
        <w:t>log K</w:t>
      </w:r>
      <w:r>
        <w:rPr>
          <w:rFonts w:ascii="Times New Roman" w:hAnsi="Times New Roman" w:eastAsia="MS Mincho"/>
          <w:b w:val="0"/>
          <w:i/>
          <w:sz w:val="24"/>
          <w:vertAlign w:val="subscript"/>
        </w:rPr>
        <w:t>P</w:t>
      </w:r>
      <w:r>
        <w:rPr>
          <w:rFonts w:ascii="Times New Roman" w:hAnsi="Times New Roman" w:eastAsia="MS Mincho"/>
          <w:b w:val="0"/>
          <w:i/>
          <w:sz w:val="24"/>
        </w:rPr>
        <w:t xml:space="preserve">IM(t) = </w:t>
      </w:r>
      <w:r>
        <w:rPr>
          <w:rFonts w:ascii="Times New Roman" w:hAnsi="Times New Roman" w:eastAsia="MS Mincho"/>
          <w:b w:val="0"/>
          <w:i/>
          <w:sz w:val="24"/>
        </w:rPr>
        <w:t>ρ</w:t>
      </w:r>
      <w:r>
        <w:rPr>
          <w:rFonts w:ascii="Times New Roman" w:hAnsi="Times New Roman" w:eastAsia="MS Mincho"/>
          <w:b w:val="0"/>
          <w:i/>
          <w:sz w:val="24"/>
        </w:rPr>
        <w:t xml:space="preserve">₁ + </w:t>
      </w:r>
      <w:r>
        <w:rPr>
          <w:rFonts w:ascii="Times New Roman" w:hAnsi="Times New Roman" w:eastAsia="MS Mincho"/>
          <w:b w:val="0"/>
          <w:i/>
          <w:sz w:val="24"/>
        </w:rPr>
        <w:t>ρ</w:t>
      </w:r>
      <w:r>
        <w:rPr>
          <w:rFonts w:ascii="Times New Roman" w:hAnsi="Times New Roman" w:eastAsia="MS Mincho"/>
          <w:b w:val="0"/>
          <w:i/>
          <w:sz w:val="24"/>
        </w:rPr>
        <w:t>₂ · log K</w:t>
      </w:r>
      <w:r>
        <w:rPr>
          <w:rFonts w:ascii="Times New Roman" w:hAnsi="Times New Roman" w:eastAsia="MS Mincho"/>
          <w:b w:val="0"/>
          <w:i/>
          <w:sz w:val="24"/>
          <w:vertAlign w:val="subscript"/>
        </w:rPr>
        <w:t>C</w:t>
      </w:r>
      <w:r>
        <w:rPr>
          <w:rFonts w:ascii="Times New Roman" w:hAnsi="Times New Roman" w:eastAsia="MS Mincho"/>
          <w:b w:val="0"/>
          <w:i/>
          <w:sz w:val="24"/>
        </w:rPr>
        <w:t xml:space="preserve">WON(t) + </w:t>
      </w:r>
      <w:r>
        <w:rPr>
          <w:rFonts w:ascii="Times New Roman" w:hAnsi="Times New Roman" w:eastAsia="MS Mincho"/>
          <w:b w:val="0"/>
          <w:i/>
          <w:sz w:val="24"/>
        </w:rPr>
        <w:t>ε</w:t>
      </w:r>
      <w:r>
        <w:rPr>
          <w:rFonts w:ascii="Times New Roman" w:hAnsi="Times New Roman" w:eastAsia="MS Mincho"/>
          <w:b w:val="0"/>
          <w:i/>
          <w:sz w:val="24"/>
        </w:rPr>
        <w:t>(t),</w:t>
      </w:r>
      <w:r>
        <w:rPr>
          <w:rFonts w:ascii="Times New Roman" w:hAnsi="Times New Roman" w:eastAsia="MS Mincho"/>
          <w:b w:val="0"/>
          <w:i w:val="0"/>
          <w:sz w:val="24"/>
        </w:rPr>
        <w:tab/>
      </w:r>
      <w:r>
        <w:rPr>
          <w:rFonts w:ascii="Times New Roman" w:hAnsi="Times New Roman" w:eastAsia="MS Mincho"/>
          <w:b w:val="0"/>
          <w:i w:val="0"/>
          <w:sz w:val="24"/>
        </w:rPr>
        <w:t>(M5)</w:t>
      </w:r>
    </w:p>
    <w:p>
      <w:pPr>
        <w:spacing w:after="120" w:line="480" w:lineRule="auto"/>
        <w:ind w:firstLine="480"/>
      </w:pPr>
      <w:r>
        <w:rPr>
          <w:rFonts w:ascii="Times New Roman" w:hAnsi="Times New Roman" w:eastAsia="MS Mincho"/>
          <w:b w:val="0"/>
          <w:i w:val="0"/>
          <w:sz w:val="24"/>
        </w:rPr>
        <w:t>where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are the relational parameters estimated by OLS on the overlapping years where both series are observed and positive. The interpretation is direct:</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 xml:space="preserve">₂ = 1 and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 PIM and CWON accounts are perfectly consistent — they measure the same latent stock up to a white-noise error.</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₂ ≠ 1</w:t>
      </w:r>
      <w:r>
        <w:rPr>
          <w:rFonts w:ascii="Times New Roman" w:hAnsi="Times New Roman" w:eastAsia="MS Mincho"/>
          <w:b w:val="0"/>
          <w:i w:val="0"/>
          <w:sz w:val="24"/>
        </w:rPr>
        <w:t xml:space="preserve">: there is a cumulative (scale-dependent) bias in the PIM relative to CWON. If </w:t>
      </w:r>
      <w:r>
        <w:rPr>
          <w:rFonts w:ascii="Times New Roman" w:hAnsi="Times New Roman" w:eastAsia="MS Mincho"/>
          <w:b w:val="0"/>
          <w:i/>
          <w:sz w:val="24"/>
        </w:rPr>
        <w:t>ρ</w:t>
      </w:r>
      <w:r>
        <w:rPr>
          <w:rFonts w:ascii="Times New Roman" w:hAnsi="Times New Roman" w:eastAsia="MS Mincho"/>
          <w:b w:val="0"/>
          <w:i w:val="0"/>
          <w:sz w:val="24"/>
        </w:rPr>
        <w:t xml:space="preserve">₂ &lt; 1, the PIM understates the growth of capital relative to CWON; if </w:t>
      </w:r>
      <w:r>
        <w:rPr>
          <w:rFonts w:ascii="Times New Roman" w:hAnsi="Times New Roman" w:eastAsia="MS Mincho"/>
          <w:b w:val="0"/>
          <w:i/>
          <w:sz w:val="24"/>
        </w:rPr>
        <w:t>ρ</w:t>
      </w:r>
      <w:r>
        <w:rPr>
          <w:rFonts w:ascii="Times New Roman" w:hAnsi="Times New Roman" w:eastAsia="MS Mincho"/>
          <w:b w:val="0"/>
          <w:i w:val="0"/>
          <w:sz w:val="24"/>
        </w:rPr>
        <w:t>₂ &gt; 1, it overstates it.</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there is a level shift between the two accounts, capturing differences in base-year calibration, PPP conversions, or asset coverage.</w:t>
      </w:r>
    </w:p>
    <w:p>
      <w:pPr>
        <w:spacing w:after="120" w:line="480" w:lineRule="auto"/>
        <w:ind w:firstLine="480"/>
      </w:pPr>
      <w:r>
        <w:rPr>
          <w:rFonts w:ascii="Times New Roman" w:hAnsi="Times New Roman" w:eastAsia="MS Mincho"/>
          <w:b w:val="0"/>
          <w:i w:val="0"/>
          <w:sz w:val="24"/>
        </w:rPr>
        <w:t xml:space="preserve">The novelty is threefold. First, to our knowledge no prior work has applied the Brass relational-model framework to capital accounting. Second, the RPIM does not treat CWON as "truth" — it parameterises the </w:t>
      </w:r>
      <w:r>
        <w:rPr>
          <w:rFonts w:ascii="Times New Roman" w:hAnsi="Times New Roman" w:eastAsia="MS Mincho"/>
          <w:b w:val="0"/>
          <w:i/>
          <w:sz w:val="24"/>
        </w:rPr>
        <w:t>relationship</w:t>
      </w:r>
      <w:r>
        <w:rPr>
          <w:rFonts w:ascii="Times New Roman" w:hAnsi="Times New Roman" w:eastAsia="MS Mincho"/>
          <w:b w:val="0"/>
          <w:i w:val="0"/>
          <w:sz w:val="24"/>
        </w:rPr>
        <w:t xml:space="preserve"> between two independent estimates of the same latent stock, making systematic biases visible and quantifiable. Third, the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can be computed under each model specification (M0 through M4), so improvement in </w:t>
      </w:r>
      <w:r>
        <w:rPr>
          <w:rFonts w:ascii="Times New Roman" w:hAnsi="Times New Roman" w:eastAsia="MS Mincho"/>
          <w:b w:val="0"/>
          <w:i/>
          <w:sz w:val="24"/>
        </w:rPr>
        <w:t>ρ</w:t>
      </w:r>
      <w:r>
        <w:rPr>
          <w:rFonts w:ascii="Times New Roman" w:hAnsi="Times New Roman" w:eastAsia="MS Mincho"/>
          <w:b w:val="0"/>
          <w:i w:val="0"/>
          <w:sz w:val="24"/>
        </w:rPr>
        <w:t>₂ toward unity serves as an independent check on whether the tempo and intangible corrections actually bring the two accounts closer together.</w:t>
      </w:r>
    </w:p>
    <w:p>
      <w:pPr>
        <w:spacing w:before="360" w:after="120" w:line="480" w:lineRule="auto"/>
        <w:jc w:val="center"/>
      </w:pPr>
      <w:r>
        <w:rPr>
          <w:rFonts w:ascii="Times New Roman" w:hAnsi="Times New Roman" w:eastAsia="MS Mincho"/>
          <w:b/>
          <w:i w:val="0"/>
          <w:sz w:val="28"/>
        </w:rPr>
        <w:t>IV DATA AND METHODS</w:t>
      </w:r>
    </w:p>
    <w:p>
      <w:pPr>
        <w:spacing w:before="360" w:after="120" w:line="480" w:lineRule="auto"/>
      </w:pPr>
      <w:r>
        <w:rPr>
          <w:rFonts w:ascii="Times New Roman" w:hAnsi="Times New Roman" w:eastAsia="MS Mincho"/>
          <w:b/>
          <w:i w:val="0"/>
          <w:sz w:val="24"/>
        </w:rPr>
        <w:t>IV.1 Data</w:t>
      </w:r>
    </w:p>
    <w:p>
      <w:pPr>
        <w:spacing w:after="120" w:line="480" w:lineRule="auto"/>
        <w:ind w:firstLine="480"/>
      </w:pPr>
      <w:r>
        <w:rPr>
          <w:rFonts w:ascii="Times New Roman" w:hAnsi="Times New Roman" w:eastAsia="MS Mincho"/>
          <w:b w:val="0"/>
          <w:i w:val="0"/>
          <w:sz w:val="24"/>
        </w:rPr>
        <w:t xml:space="preserve">We use </w:t>
      </w:r>
      <w:r>
        <w:rPr>
          <w:rFonts w:ascii="Times New Roman" w:hAnsi="Times New Roman" w:eastAsia="MS Mincho"/>
          <w:b/>
          <w:i w:val="0"/>
          <w:sz w:val="24"/>
        </w:rPr>
        <w:t>Penn World Table 10.01</w:t>
      </w:r>
      <w:r>
        <w:rPr>
          <w:rFonts w:ascii="Times New Roman" w:hAnsi="Times New Roman" w:eastAsia="MS Mincho"/>
          <w:b w:val="0"/>
          <w:i w:val="0"/>
          <w:sz w:val="24"/>
        </w:rPr>
        <w:t xml:space="preserve"> (Feenstra, Inklaar, and Timmer, 2015) for real GDP output (</w:t>
      </w:r>
      <w:r>
        <w:rPr>
          <w:rFonts w:ascii="Times New Roman" w:hAnsi="Times New Roman" w:eastAsia="MS Mincho"/>
          <w:b w:val="0"/>
          <w:i/>
          <w:sz w:val="24"/>
        </w:rPr>
        <w:t>rgdpna</w:t>
      </w:r>
      <w:r>
        <w:rPr>
          <w:rFonts w:ascii="Times New Roman" w:hAnsi="Times New Roman" w:eastAsia="MS Mincho"/>
          <w:b w:val="0"/>
          <w:i w:val="0"/>
          <w:sz w:val="24"/>
        </w:rPr>
        <w:t>), tangible capital stock (</w:t>
      </w:r>
      <w:r>
        <w:rPr>
          <w:rFonts w:ascii="Times New Roman" w:hAnsi="Times New Roman" w:eastAsia="MS Mincho"/>
          <w:b w:val="0"/>
          <w:i/>
          <w:sz w:val="24"/>
        </w:rPr>
        <w:t>rnna</w:t>
      </w:r>
      <w:r>
        <w:rPr>
          <w:rFonts w:ascii="Times New Roman" w:hAnsi="Times New Roman" w:eastAsia="MS Mincho"/>
          <w:b w:val="0"/>
          <w:i w:val="0"/>
          <w:sz w:val="24"/>
        </w:rPr>
        <w:t>), investment 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depreciation (</w:t>
      </w:r>
      <w:r>
        <w:rPr>
          <w:rFonts w:ascii="Times New Roman" w:hAnsi="Times New Roman" w:eastAsia="MS Mincho"/>
          <w:b w:val="0"/>
          <w:i/>
          <w:sz w:val="24"/>
        </w:rPr>
        <w:t>delta</w:t>
      </w:r>
      <w:r>
        <w:rPr>
          <w:rFonts w:ascii="Times New Roman" w:hAnsi="Times New Roman" w:eastAsia="MS Mincho"/>
          <w:b w:val="0"/>
          <w:i w:val="0"/>
          <w:sz w:val="24"/>
        </w:rPr>
        <w:t>), employment (</w:t>
      </w:r>
      <w:r>
        <w:rPr>
          <w:rFonts w:ascii="Times New Roman" w:hAnsi="Times New Roman" w:eastAsia="MS Mincho"/>
          <w:b w:val="0"/>
          <w:i/>
          <w:sz w:val="24"/>
        </w:rPr>
        <w:t>emp</w:t>
      </w:r>
      <w:r>
        <w:rPr>
          <w:rFonts w:ascii="Times New Roman" w:hAnsi="Times New Roman" w:eastAsia="MS Mincho"/>
          <w:b w:val="0"/>
          <w:i w:val="0"/>
          <w:sz w:val="24"/>
        </w:rPr>
        <w:t>), average hours (</w:t>
      </w:r>
      <w:r>
        <w:rPr>
          <w:rFonts w:ascii="Times New Roman" w:hAnsi="Times New Roman" w:eastAsia="MS Mincho"/>
          <w:b w:val="0"/>
          <w:i/>
          <w:sz w:val="24"/>
        </w:rPr>
        <w:t>avh</w:t>
      </w:r>
      <w:r>
        <w:rPr>
          <w:rFonts w:ascii="Times New Roman" w:hAnsi="Times New Roman" w:eastAsia="MS Mincho"/>
          <w:b w:val="0"/>
          <w:i w:val="0"/>
          <w:sz w:val="24"/>
        </w:rPr>
        <w:t>), human-capital index (</w:t>
      </w:r>
      <w:r>
        <w:rPr>
          <w:rFonts w:ascii="Times New Roman" w:hAnsi="Times New Roman" w:eastAsia="MS Mincho"/>
          <w:b w:val="0"/>
          <w:i/>
          <w:sz w:val="24"/>
        </w:rPr>
        <w:t>hc</w:t>
      </w:r>
      <w:r>
        <w:rPr>
          <w:rFonts w:ascii="Times New Roman" w:hAnsi="Times New Roman" w:eastAsia="MS Mincho"/>
          <w:b w:val="0"/>
          <w:i w:val="0"/>
          <w:sz w:val="24"/>
        </w:rPr>
        <w:t>), and labour share (</w:t>
      </w:r>
      <w:r>
        <w:rPr>
          <w:rFonts w:ascii="Times New Roman" w:hAnsi="Times New Roman" w:eastAsia="MS Mincho"/>
          <w:b w:val="0"/>
          <w:i/>
          <w:sz w:val="24"/>
        </w:rPr>
        <w:t>labsh</w:t>
      </w:r>
      <w:r>
        <w:rPr>
          <w:rFonts w:ascii="Times New Roman" w:hAnsi="Times New Roman" w:eastAsia="MS Mincho"/>
          <w:b w:val="0"/>
          <w:i w:val="0"/>
          <w:sz w:val="24"/>
        </w:rPr>
        <w:t xml:space="preserve">). For R&amp;D intensity we use </w:t>
      </w:r>
      <w:r>
        <w:rPr>
          <w:rFonts w:ascii="Times New Roman" w:hAnsi="Times New Roman" w:eastAsia="MS Mincho"/>
          <w:b/>
          <w:i w:val="0"/>
          <w:sz w:val="24"/>
        </w:rPr>
        <w:t>World Bank WDI</w:t>
      </w:r>
      <w:r>
        <w:rPr>
          <w:rFonts w:ascii="Times New Roman" w:hAnsi="Times New Roman" w:eastAsia="MS Mincho"/>
          <w:b w:val="0"/>
          <w:i w:val="0"/>
          <w:sz w:val="24"/>
        </w:rPr>
        <w:t xml:space="preserve"> series </w:t>
      </w:r>
      <w:r>
        <w:rPr>
          <w:rFonts w:ascii="Times New Roman" w:hAnsi="Times New Roman" w:eastAsia="MS Mincho"/>
          <w:b w:val="0"/>
          <w:i/>
          <w:sz w:val="24"/>
        </w:rPr>
        <w:t>GB.XPD.RSDV.GD.ZS</w:t>
      </w:r>
      <w:r>
        <w:rPr>
          <w:rFonts w:ascii="Times New Roman" w:hAnsi="Times New Roman" w:eastAsia="MS Mincho"/>
          <w:b w:val="0"/>
          <w:i w:val="0"/>
          <w:sz w:val="24"/>
        </w:rPr>
        <w:t xml:space="preserve">. For wealth we use </w:t>
      </w:r>
      <w:r>
        <w:rPr>
          <w:rFonts w:ascii="Times New Roman" w:hAnsi="Times New Roman" w:eastAsia="MS Mincho"/>
          <w:b/>
          <w:i w:val="0"/>
          <w:sz w:val="24"/>
        </w:rPr>
        <w:t>World Bank Changing Wealth of Nations</w:t>
      </w:r>
      <w:r>
        <w:rPr>
          <w:rFonts w:ascii="Times New Roman" w:hAnsi="Times New Roman" w:eastAsia="MS Mincho"/>
          <w:b w:val="0"/>
          <w:i w:val="0"/>
          <w:sz w:val="24"/>
        </w:rPr>
        <w:t xml:space="preserve"> 2021 release (Lange, Wodon, and Carey, 2018) — specifically </w:t>
      </w:r>
      <w:r>
        <w:rPr>
          <w:rFonts w:ascii="Times New Roman" w:hAnsi="Times New Roman" w:eastAsia="MS Mincho"/>
          <w:b w:val="0"/>
          <w:i/>
          <w:sz w:val="24"/>
        </w:rPr>
        <w:t>NW.PCA.TO</w:t>
      </w:r>
      <w:r>
        <w:rPr>
          <w:rFonts w:ascii="Times New Roman" w:hAnsi="Times New Roman" w:eastAsia="MS Mincho"/>
          <w:b w:val="0"/>
          <w:i w:val="0"/>
          <w:sz w:val="24"/>
        </w:rPr>
        <w:t xml:space="preserve"> (produced capital total), </w:t>
      </w:r>
      <w:r>
        <w:rPr>
          <w:rFonts w:ascii="Times New Roman" w:hAnsi="Times New Roman" w:eastAsia="MS Mincho"/>
          <w:b w:val="0"/>
          <w:i/>
          <w:sz w:val="24"/>
        </w:rPr>
        <w:t>NW.HCA.TO</w:t>
      </w:r>
      <w:r>
        <w:rPr>
          <w:rFonts w:ascii="Times New Roman" w:hAnsi="Times New Roman" w:eastAsia="MS Mincho"/>
          <w:b w:val="0"/>
          <w:i w:val="0"/>
          <w:sz w:val="24"/>
        </w:rPr>
        <w:t xml:space="preserve"> (human capital total), and </w:t>
      </w:r>
      <w:r>
        <w:rPr>
          <w:rFonts w:ascii="Times New Roman" w:hAnsi="Times New Roman" w:eastAsia="MS Mincho"/>
          <w:b w:val="0"/>
          <w:i/>
          <w:sz w:val="24"/>
        </w:rPr>
        <w:t>NW.TOW.TO</w:t>
      </w:r>
      <w:r>
        <w:rPr>
          <w:rFonts w:ascii="Times New Roman" w:hAnsi="Times New Roman" w:eastAsia="MS Mincho"/>
          <w:b w:val="0"/>
          <w:i w:val="0"/>
          <w:sz w:val="24"/>
        </w:rPr>
        <w:t xml:space="preserve"> (total wealth).</w:t>
      </w:r>
    </w:p>
    <w:p>
      <w:pPr>
        <w:spacing w:after="120" w:line="48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480" w:lineRule="auto"/>
      </w:pPr>
      <w:r>
        <w:rPr>
          <w:rFonts w:ascii="Times New Roman" w:hAnsi="Times New Roman" w:eastAsia="MS Mincho"/>
          <w:b/>
          <w:i w:val="0"/>
          <w:sz w:val="24"/>
        </w:rPr>
        <w:t>IV.2 Models M0–M4</w:t>
      </w:r>
    </w:p>
    <w:p>
      <w:pPr>
        <w:spacing w:after="120" w:line="480" w:lineRule="auto"/>
        <w:ind w:firstLine="480"/>
      </w:pPr>
      <w:r>
        <w:rPr>
          <w:rFonts w:ascii="Times New Roman" w:hAnsi="Times New Roman" w:eastAsia="MS Mincho"/>
          <w:b w:val="0"/>
          <w:i w:val="0"/>
          <w:sz w:val="24"/>
        </w:rPr>
        <w:t>We estimate five nested production-function specifications:</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M0</w:t>
      </w:r>
      <w:r>
        <w:rPr>
          <w:rFonts w:ascii="Times New Roman" w:hAnsi="Times New Roman" w:eastAsia="MS Mincho"/>
          <w:b w:val="0"/>
          <w:i w:val="0"/>
          <w:sz w:val="24"/>
        </w:rPr>
        <w:t xml:space="preserve">: Solow baseline,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as M0 above, </w:t>
      </w:r>
      <w:r>
        <w:rPr>
          <w:rFonts w:ascii="Times New Roman" w:hAnsi="Times New Roman" w:eastAsia="MS Mincho"/>
          <w:b w:val="0"/>
          <w:i/>
          <w:sz w:val="24"/>
        </w:rPr>
        <w:t>β</w:t>
      </w:r>
      <w:r>
        <w:rPr>
          <w:rFonts w:ascii="Times New Roman" w:hAnsi="Times New Roman" w:eastAsia="MS Mincho"/>
          <w:b w:val="0"/>
          <w:i w:val="0"/>
          <w:sz w:val="24"/>
        </w:rPr>
        <w:t xml:space="preserve"> = 0.</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M1</w:t>
      </w:r>
      <w:r>
        <w:rPr>
          <w:rFonts w:ascii="Times New Roman" w:hAnsi="Times New Roman" w:eastAsia="MS Mincho"/>
          <w:b w:val="0"/>
          <w:i w:val="0"/>
          <w:sz w:val="24"/>
        </w:rPr>
        <w:t xml:space="preserve">: Constant-lag PIM (M1) with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val="0"/>
          <w:sz w:val="24"/>
        </w:rPr>
        <w:t>* estimated per country by minimising Test B (growth-rate RMSE).</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M2</w:t>
      </w:r>
      <w:r>
        <w:rPr>
          <w:rFonts w:ascii="Times New Roman" w:hAnsi="Times New Roman" w:eastAsia="MS Mincho"/>
          <w:b w:val="0"/>
          <w:i w:val="0"/>
          <w:sz w:val="24"/>
        </w:rPr>
        <w:t xml:space="preserve">: Time-varying lag </w:t>
      </w:r>
      <w:r>
        <w:rPr>
          <w:rFonts w:ascii="Times New Roman" w:hAnsi="Times New Roman" w:eastAsia="MS Mincho"/>
          <w:b w:val="0"/>
          <w:i/>
          <w:sz w:val="24"/>
        </w:rPr>
        <w:t>μ</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val="0"/>
          <w:sz w:val="24"/>
        </w:rPr>
        <w:t xml:space="preserve">₀ + </w:t>
      </w:r>
      <w:r>
        <w:rPr>
          <w:rFonts w:ascii="Times New Roman" w:hAnsi="Times New Roman" w:eastAsia="MS Mincho"/>
          <w:b w:val="0"/>
          <w:i/>
          <w:sz w:val="24"/>
        </w:rPr>
        <w:t>μ</w:t>
      </w:r>
      <w:r>
        <w:rPr>
          <w:rFonts w:ascii="Times New Roman" w:hAnsi="Times New Roman" w:eastAsia="MS Mincho"/>
          <w:b w:val="0"/>
          <w:i w:val="0"/>
          <w:sz w:val="24"/>
        </w:rPr>
        <w:t>₁·(t − t₀) from (M2).</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M3</w:t>
      </w:r>
      <w:r>
        <w:rPr>
          <w:rFonts w:ascii="Times New Roman" w:hAnsi="Times New Roman" w:eastAsia="MS Mincho"/>
          <w:b w:val="0"/>
          <w:i w:val="0"/>
          <w:sz w:val="24"/>
        </w:rPr>
        <w:t>: M0 tangible stock augmented with intangible stock 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estimated by growth-rate fit.</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M4</w:t>
      </w:r>
      <w:r>
        <w:rPr>
          <w:rFonts w:ascii="Times New Roman" w:hAnsi="Times New Roman" w:eastAsia="MS Mincho"/>
          <w:b w:val="0"/>
          <w:i w:val="0"/>
          <w:sz w:val="24"/>
        </w:rPr>
        <w:t>: Joint identification (Section III.3), minimising (2) over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simultaneously against CWON.</w:t>
      </w:r>
    </w:p>
    <w:p>
      <w:pPr>
        <w:spacing w:after="120" w:line="48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A (level MAPE)</w:t>
      </w:r>
      <w:r>
        <w:rPr>
          <w:rFonts w:ascii="Times New Roman" w:hAnsi="Times New Roman" w:eastAsia="MS Mincho"/>
          <w:b w:val="0"/>
          <w:i w:val="0"/>
          <w:sz w:val="24"/>
        </w:rPr>
        <w:t>: mean absolute percentage error of fitted log-GDP against observed log-GDP, decomposing away decade-mean TFP. Lower is better.</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B (growth RMSE)</w:t>
      </w:r>
      <w:r>
        <w:rPr>
          <w:rFonts w:ascii="Times New Roman" w:hAnsi="Times New Roman" w:eastAsia="MS Mincho"/>
          <w:b w:val="0"/>
          <w:i w:val="0"/>
          <w:sz w:val="24"/>
        </w:rPr>
        <w:t>: root-mean-squared error of 1-year log-GDP differences, in percentage points. Lower is better.</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Out-of-sample MAPE</w:t>
      </w:r>
      <w:r>
        <w:rPr>
          <w:rFonts w:ascii="Times New Roman" w:hAnsi="Times New Roman" w:eastAsia="MS Mincho"/>
          <w:b w:val="0"/>
          <w:i w:val="0"/>
          <w:sz w:val="24"/>
        </w:rPr>
        <w:t>: parameters fit on 1970–2014, level forecasts produced for 2015–2019 with a training-window TFP projection. Lower is better.</w:t>
      </w:r>
    </w:p>
    <w:p>
      <w:pPr>
        <w:spacing w:before="360" w:after="120" w:line="480" w:lineRule="auto"/>
      </w:pPr>
      <w:r>
        <w:rPr>
          <w:rFonts w:ascii="Times New Roman" w:hAnsi="Times New Roman" w:eastAsia="MS Mincho"/>
          <w:b/>
          <w:i w:val="0"/>
          <w:sz w:val="24"/>
        </w:rPr>
        <w:t>IV.3 Estimation protocol and grid search</w:t>
      </w:r>
    </w:p>
    <w:p>
      <w:pPr>
        <w:spacing w:after="120" w:line="480" w:lineRule="auto"/>
        <w:ind w:firstLine="480"/>
      </w:pPr>
      <w:r>
        <w:rPr>
          <w:rFonts w:ascii="Times New Roman" w:hAnsi="Times New Roman" w:eastAsia="MS Mincho"/>
          <w:b w:val="0"/>
          <w:i w:val="0"/>
          <w:sz w:val="24"/>
        </w:rPr>
        <w:t xml:space="preserve">All five models are estimated by grid search, not gradient optimisation, for three reasons. First, the objective function (2) has known non-convexities induced by the geometric lag kernel, especially when </w:t>
      </w:r>
      <w:r>
        <w:rPr>
          <w:rFonts w:ascii="Times New Roman" w:hAnsi="Times New Roman" w:eastAsia="MS Mincho"/>
          <w:b w:val="0"/>
          <w:i/>
          <w:sz w:val="24"/>
        </w:rPr>
        <w:t>μ</w:t>
      </w:r>
      <w:r>
        <w:rPr>
          <w:rFonts w:ascii="Times New Roman" w:hAnsi="Times New Roman" w:eastAsia="MS Mincho"/>
          <w:b w:val="0"/>
          <w:i w:val="0"/>
          <w:sz w:val="24"/>
        </w:rPr>
        <w:t xml:space="preserve">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w:t>
      </w:r>
      <w:r>
        <w:rPr>
          <w:rFonts w:ascii="Times New Roman" w:hAnsi="Times New Roman" w:eastAsia="MS Mincho"/>
          <w:b w:val="0"/>
          <w:i/>
          <w:sz w:val="24"/>
        </w:rPr>
        <w:t>μ</w:t>
      </w:r>
      <w:r>
        <w:rPr>
          <w:rFonts w:ascii="Times New Roman" w:hAnsi="Times New Roman" w:eastAsia="MS Mincho"/>
          <w:b w:val="0"/>
          <w:i w:val="0"/>
          <w:sz w:val="24"/>
        </w:rPr>
        <w:t xml:space="preserve"> grid is {0.01, 0.05, 0.10, 0.25, 0.50, 1.0, 1.5, 2.0, 3.0, 4.5, 6.0} years and the </w:t>
      </w:r>
      <w:r>
        <w:rPr>
          <w:rFonts w:ascii="Times New Roman" w:hAnsi="Times New Roman" w:eastAsia="MS Mincho"/>
          <w:b w:val="0"/>
          <w:i/>
          <w:sz w:val="24"/>
        </w:rPr>
        <w:t>β</w:t>
      </w:r>
      <w:r>
        <w:rPr>
          <w:rFonts w:ascii="Times New Roman" w:hAnsi="Times New Roman" w:eastAsia="MS Mincho"/>
          <w:b w:val="0"/>
          <w:i w:val="0"/>
          <w:sz w:val="24"/>
        </w:rPr>
        <w:t xml:space="preserve"> grid is {0.00, 0.02, 0.04, ..., 0.34}; </w:t>
      </w:r>
      <w:r>
        <w:rPr>
          <w:rFonts w:ascii="Times New Roman" w:hAnsi="Times New Roman" w:eastAsia="MS Mincho"/>
          <w:b w:val="0"/>
          <w:i/>
          <w:sz w:val="24"/>
        </w:rPr>
        <w:t>μ</w:t>
      </w:r>
      <w:r>
        <w:rPr>
          <w:rFonts w:ascii="Times New Roman" w:hAnsi="Times New Roman" w:eastAsia="MS Mincho"/>
          <w:b w:val="0"/>
          <w:i w:val="0"/>
          <w:sz w:val="24"/>
        </w:rPr>
        <w:t xml:space="preserve">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w:t>
      </w:r>
      <w:r>
        <w:rPr>
          <w:rFonts w:ascii="Times New Roman" w:hAnsi="Times New Roman" w:eastAsia="MS Mincho"/>
          <w:b w:val="0"/>
          <w:i/>
          <w:sz w:val="24"/>
        </w:rPr>
        <w:t>μ</w:t>
      </w:r>
      <w:r>
        <w:rPr>
          <w:rFonts w:ascii="Times New Roman" w:hAnsi="Times New Roman" w:eastAsia="MS Mincho"/>
          <w:b w:val="0"/>
          <w:i w:val="0"/>
          <w:sz w:val="24"/>
        </w:rPr>
        <w:t xml:space="preserve">₀ is the average lag in the base year; this choice has no effect on fit but makes </w:t>
      </w:r>
      <w:r>
        <w:rPr>
          <w:rFonts w:ascii="Times New Roman" w:hAnsi="Times New Roman" w:eastAsia="MS Mincho"/>
          <w:b w:val="0"/>
          <w:i/>
          <w:sz w:val="24"/>
        </w:rPr>
        <w:t>μ</w:t>
      </w:r>
      <w:r>
        <w:rPr>
          <w:rFonts w:ascii="Times New Roman" w:hAnsi="Times New Roman" w:eastAsia="MS Mincho"/>
          <w:b w:val="0"/>
          <w:i w:val="0"/>
          <w:sz w:val="24"/>
        </w:rPr>
        <w:t xml:space="preserve">₀ and </w:t>
      </w:r>
      <w:r>
        <w:rPr>
          <w:rFonts w:ascii="Times New Roman" w:hAnsi="Times New Roman" w:eastAsia="MS Mincho"/>
          <w:b w:val="0"/>
          <w:i/>
          <w:sz w:val="24"/>
        </w:rPr>
        <w:t>μ</w:t>
      </w:r>
      <w:r>
        <w:rPr>
          <w:rFonts w:ascii="Times New Roman" w:hAnsi="Times New Roman" w:eastAsia="MS Mincho"/>
          <w:b w:val="0"/>
          <w:i w:val="0"/>
          <w:sz w:val="24"/>
        </w:rPr>
        <w:t>₁ interpretable.</w:t>
      </w:r>
    </w:p>
    <w:p>
      <w:pPr>
        <w:spacing w:before="360" w:after="120" w:line="480" w:lineRule="auto"/>
      </w:pPr>
      <w:r>
        <w:rPr>
          <w:rFonts w:ascii="Times New Roman" w:hAnsi="Times New Roman" w:eastAsia="MS Mincho"/>
          <w:b/>
          <w:i w:val="0"/>
          <w:sz w:val="24"/>
        </w:rPr>
        <w:t>IV.4 Bootstrap confidence intervals</w:t>
      </w:r>
    </w:p>
    <w:p>
      <w:pPr>
        <w:spacing w:after="120" w:line="480" w:lineRule="auto"/>
        <w:ind w:firstLine="480"/>
      </w:pPr>
      <w:r>
        <w:rPr>
          <w:rFonts w:ascii="Times New Roman" w:hAnsi="Times New Roman" w:eastAsia="MS Mincho"/>
          <w:b w:val="0"/>
          <w:i w:val="0"/>
          <w:sz w:val="24"/>
        </w:rPr>
        <w:t xml:space="preserve">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a synthetic R&amp;D intensity using WDI shares; (iv) rebuild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val="0"/>
          <w:sz w:val="24"/>
        </w:rPr>
        <w:t>; (v) re-run the joint-identification grid, storing (</w:t>
      </w:r>
      <w:r>
        <w:rPr>
          <w:rFonts w:ascii="Times New Roman" w:hAnsi="Times New Roman" w:eastAsia="MS Mincho"/>
          <w:b w:val="0"/>
          <w:i/>
          <w:sz w:val="24"/>
        </w:rPr>
        <w:t>μ</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w:t>
      </w:r>
      <w:r>
        <w:rPr>
          <w:rFonts w:ascii="Times New Roman" w:hAnsi="Times New Roman" w:eastAsia="MS Mincho"/>
          <w:b w:val="0"/>
          <w:i/>
          <w:sz w:val="24"/>
        </w:rPr>
        <w:t>μ</w:t>
      </w:r>
      <w:r>
        <w:rPr>
          <w:rFonts w:ascii="Times New Roman" w:hAnsi="Times New Roman" w:eastAsia="MS Mincho"/>
          <w:b w:val="0"/>
          <w:i w:val="0"/>
          <w:sz w:val="24"/>
        </w:rPr>
        <w:t xml:space="preserve"> = 0 is still rejected for 14 countries and </w:t>
      </w:r>
      <w:r>
        <w:rPr>
          <w:rFonts w:ascii="Times New Roman" w:hAnsi="Times New Roman" w:eastAsia="MS Mincho"/>
          <w:b w:val="0"/>
          <w:i/>
          <w:sz w:val="24"/>
        </w:rPr>
        <w:t>β</w:t>
      </w:r>
      <w:r>
        <w:rPr>
          <w:rFonts w:ascii="Times New Roman" w:hAnsi="Times New Roman" w:eastAsia="MS Mincho"/>
          <w:b w:val="0"/>
          <w:i w:val="0"/>
          <w:sz w:val="24"/>
        </w:rPr>
        <w:t xml:space="preserve"> = 0 for 9 countries.</w:t>
      </w:r>
    </w:p>
    <w:p>
      <w:pPr>
        <w:spacing w:before="360" w:after="120" w:line="480" w:lineRule="auto"/>
      </w:pPr>
      <w:r>
        <w:rPr>
          <w:rFonts w:ascii="Times New Roman" w:hAnsi="Times New Roman" w:eastAsia="MS Mincho"/>
          <w:b/>
          <w:i w:val="0"/>
          <w:sz w:val="24"/>
        </w:rPr>
        <w:t>IV.5 γ_price sensitivity</w:t>
      </w:r>
    </w:p>
    <w:p>
      <w:pPr>
        <w:spacing w:after="120" w:line="480" w:lineRule="auto"/>
        <w:ind w:firstLine="480"/>
      </w:pPr>
      <w:r>
        <w:rPr>
          <w:rFonts w:ascii="Times New Roman" w:hAnsi="Times New Roman" w:eastAsia="MS Mincho"/>
          <w:b w:val="0"/>
          <w:i w:val="0"/>
          <w:sz w:val="24"/>
        </w:rPr>
        <w:t xml:space="preserve">To test whether the residual PIM-CWON gap in countries such as Japan reflects an asset-price re-evaluation effect rather than a real capital gap, we re-run the comparison under five counterfactual scenarios in which CWON PCA is inflated/deflated at an annual rate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−0.02, 0, +0.02, +0.04}. A large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is not intended to be an additional estimand of the joint framework — if it were, it would enter (2) alongside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Rather, it is a diagnostic: a residual gap between the PIM account and the CWON account at a specific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value admits exactly one of three interpretations, namely (a) quantity mis-measurement in the PIM, (b) quantity mis-measurement in CWON, or (c) genuine composition change (e.g. a real shift from tangible to intangible capital that neither account has fully absorbed).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sweep helps identify (a) and (b) against (c).</w:t>
      </w:r>
    </w:p>
    <w:p>
      <w:pPr>
        <w:spacing w:before="360" w:after="120" w:line="480" w:lineRule="auto"/>
        <w:jc w:val="center"/>
      </w:pPr>
      <w:r>
        <w:rPr>
          <w:rFonts w:ascii="Times New Roman" w:hAnsi="Times New Roman" w:eastAsia="MS Mincho"/>
          <w:b/>
          <w:i w:val="0"/>
          <w:sz w:val="28"/>
        </w:rPr>
        <w:t>V RESULTS</w:t>
      </w:r>
    </w:p>
    <w:p>
      <w:pPr>
        <w:spacing w:before="360" w:after="120" w:line="480" w:lineRule="auto"/>
      </w:pPr>
      <w:r>
        <w:rPr>
          <w:rFonts w:ascii="Times New Roman" w:hAnsi="Times New Roman" w:eastAsia="MS Mincho"/>
          <w:b/>
          <w:i w:val="0"/>
          <w:sz w:val="24"/>
        </w:rPr>
        <w:t>V.1 In-sample parameter distributions and fit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 xml:space="preserve">Table 1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w:t>
      </w:r>
      <w:r>
        <w:rPr>
          <w:rFonts w:ascii="Times New Roman" w:hAnsi="Times New Roman" w:eastAsia="MS Mincho"/>
          <w:b w:val="0"/>
          <w:i/>
          <w:sz w:val="24"/>
        </w:rPr>
        <w:t>μ</w:t>
      </w:r>
      <w:r>
        <w:rPr>
          <w:rFonts w:ascii="Times New Roman" w:hAnsi="Times New Roman" w:eastAsia="MS Mincho"/>
          <w:b w:val="0"/>
          <w:i w:val="0"/>
          <w:sz w:val="24"/>
        </w:rPr>
        <w:t xml:space="preserve">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w:t>
      </w:r>
      <w:r>
        <w:rPr>
          <w:rFonts w:ascii="Times New Roman" w:hAnsi="Times New Roman" w:eastAsia="MS Mincho"/>
          <w:b w:val="0"/>
          <w:i/>
          <w:sz w:val="24"/>
        </w:rPr>
        <w:t>μ</w:t>
      </w:r>
      <w:r>
        <w:rPr>
          <w:rFonts w:ascii="Times New Roman" w:hAnsi="Times New Roman" w:eastAsia="MS Mincho"/>
          <w:b w:val="0"/>
          <w:i/>
          <w:sz w:val="24"/>
        </w:rPr>
        <w:t xml:space="preserve"> across the 39 countries is highly non-degenerate. The interquartile range under M1 runs from below 0.1 years to above 1.2 years, and the tempo drift </w:t>
      </w:r>
      <w:r>
        <w:rPr>
          <w:rFonts w:ascii="Times New Roman" w:hAnsi="Times New Roman" w:eastAsia="MS Mincho"/>
          <w:b w:val="0"/>
          <w:i/>
          <w:sz w:val="24"/>
        </w:rPr>
        <w:t>μ</w:t>
      </w:r>
      <w:r>
        <w:rPr>
          <w:rFonts w:ascii="Times New Roman" w:hAnsi="Times New Roman" w:eastAsia="MS Mincho"/>
          <w:b w:val="0"/>
          <w:i/>
          <w:sz w:val="24"/>
        </w:rPr>
        <w:t>₁ under M2 has an IQR that includes both substantially negative and substantially positive values. The universal-</w:t>
      </w:r>
      <w:r>
        <w:rPr>
          <w:rFonts w:ascii="Times New Roman" w:hAnsi="Times New Roman" w:eastAsia="MS Mincho"/>
          <w:b w:val="0"/>
          <w:i/>
          <w:sz w:val="24"/>
        </w:rPr>
        <w:t>μ</w:t>
      </w:r>
      <w:r>
        <w:rPr>
          <w:rFonts w:ascii="Times New Roman" w:hAnsi="Times New Roman" w:eastAsia="MS Mincho"/>
          <w:b w:val="0"/>
          <w:i/>
          <w:sz w:val="24"/>
        </w:rPr>
        <w:t xml:space="preserve">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w:t>
      </w:r>
      <w:r>
        <w:rPr>
          <w:rFonts w:ascii="Times New Roman" w:hAnsi="Times New Roman" w:eastAsia="MS Mincho"/>
          <w:b w:val="0"/>
          <w:i/>
          <w:sz w:val="24"/>
        </w:rPr>
        <w:t>μ</w:t>
      </w:r>
      <w:r>
        <w:rPr>
          <w:rFonts w:ascii="Times New Roman" w:hAnsi="Times New Roman" w:eastAsia="MS Mincho"/>
          <w:b w:val="0"/>
          <w:i w:val="0"/>
          <w:sz w:val="24"/>
        </w:rPr>
        <w:t xml:space="preserve"> ≈ 0.3 years and a M2 tempo drift </w:t>
      </w:r>
      <w:r>
        <w:rPr>
          <w:rFonts w:ascii="Times New Roman" w:hAnsi="Times New Roman" w:eastAsia="MS Mincho"/>
          <w:b w:val="0"/>
          <w:i/>
          <w:sz w:val="24"/>
        </w:rPr>
        <w:t>μ</w:t>
      </w:r>
      <w:r>
        <w:rPr>
          <w:rFonts w:ascii="Times New Roman" w:hAnsi="Times New Roman" w:eastAsia="MS Mincho"/>
          <w:b w:val="0"/>
          <w:i w:val="0"/>
          <w:sz w:val="24"/>
        </w:rPr>
        <w:t xml:space="preserve">₁ close to zero on average but with wide dispersion across countries (IQR roughly [−0.02, +0.05]). Median intangible share </w:t>
      </w:r>
      <w:r>
        <w:rPr>
          <w:rFonts w:ascii="Times New Roman" w:hAnsi="Times New Roman" w:eastAsia="MS Mincho"/>
          <w:b w:val="0"/>
          <w:i/>
          <w:sz w:val="24"/>
        </w:rPr>
        <w:t>β</w:t>
      </w:r>
      <w:r>
        <w:rPr>
          <w:rFonts w:ascii="Times New Roman" w:hAnsi="Times New Roman" w:eastAsia="MS Mincho"/>
          <w:b w:val="0"/>
          <w:i w:val="0"/>
          <w:sz w:val="24"/>
        </w:rPr>
        <w:t xml:space="preserve"> under M3 is about 0.06 for production-only fitting and 0.06 under joint identification with CWON (M4). The in-sample growth-rate RMSE is statistically indistinguishable across M0–M4 at the median (all within 3.07–3.10 pp), confirming that the production function is close to flat in </w:t>
      </w:r>
      <w:r>
        <w:rPr>
          <w:rFonts w:ascii="Times New Roman" w:hAnsi="Times New Roman" w:eastAsia="MS Mincho"/>
          <w:b w:val="0"/>
          <w:i/>
          <w:sz w:val="24"/>
        </w:rPr>
        <w:t>μ</w:t>
      </w:r>
      <w:r>
        <w:rPr>
          <w:rFonts w:ascii="Times New Roman" w:hAnsi="Times New Roman" w:eastAsia="MS Mincho"/>
          <w:b w:val="0"/>
          <w:i w:val="0"/>
          <w:sz w:val="24"/>
        </w:rPr>
        <w:t xml:space="preserve">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480" w:lineRule="auto"/>
      </w:pPr>
      <w:r>
        <w:rPr>
          <w:rFonts w:ascii="Times New Roman" w:hAnsi="Times New Roman" w:eastAsia="MS Mincho"/>
          <w:b/>
          <w:i w:val="0"/>
          <w:sz w:val="24"/>
        </w:rPr>
        <w:t>V.2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48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1.</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480" w:lineRule="auto"/>
        <w:ind w:firstLine="480"/>
      </w:pPr>
      <w:r>
        <w:rPr>
          <w:rFonts w:ascii="Times New Roman" w:hAnsi="Times New Roman" w:eastAsia="MS Mincho"/>
          <w:b w:val="0"/>
          <w:i w:val="0"/>
          <w:sz w:val="24"/>
        </w:rPr>
        <w:t xml:space="preserve">Figure 2 shows the real pay-off from the tempo correction. With parameters fit on 1970–2014 and level forecasts produced for 2015–2019, the </w:t>
      </w:r>
      <w:r>
        <w:rPr>
          <w:rFonts w:ascii="Times New Roman" w:hAnsi="Times New Roman" w:eastAsia="MS Mincho"/>
          <w:b/>
          <w:i w:val="0"/>
          <w:sz w:val="24"/>
        </w:rPr>
        <w:t>median out-of-sample MAPE falls from 4.60 % under the Solow baseline M0 to 3.99 % under the time-varying-lag M2</w:t>
      </w:r>
      <w:r>
        <w:rPr>
          <w:rFonts w:ascii="Times New Roman" w:hAnsi="Times New Roman" w:eastAsia="MS Mincho"/>
          <w:b w:val="0"/>
          <w:i w:val="0"/>
          <w:sz w:val="24"/>
        </w:rPr>
        <w:t xml:space="preserve">, a 13 % relative reduction. M1 (constant lag) achieves most of the gain (4.06 %), confirming that the bulk of the improvement comes from recognising that investment </w:t>
      </w:r>
      <w:r>
        <w:rPr>
          <w:rFonts w:ascii="Times New Roman" w:hAnsi="Times New Roman" w:eastAsia="MS Mincho"/>
          <w:b w:val="0"/>
          <w:i/>
          <w:sz w:val="24"/>
        </w:rPr>
        <w:t>has</w:t>
      </w:r>
      <w:r>
        <w:rPr>
          <w:rFonts w:ascii="Times New Roman" w:hAnsi="Times New Roman" w:eastAsia="MS Mincho"/>
          <w:b w:val="0"/>
          <w:i w:val="0"/>
          <w:sz w:val="24"/>
        </w:rPr>
        <w:t xml:space="preserve">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480" w:lineRule="auto"/>
        <w:ind w:firstLine="480"/>
      </w:pPr>
      <w:r>
        <w:rPr>
          <w:rFonts w:ascii="Times New Roman" w:hAnsi="Times New Roman" w:eastAsia="MS Mincho"/>
          <w:b w:val="0"/>
          <w:i w:val="0"/>
          <w:sz w:val="24"/>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after="120" w:line="480" w:lineRule="auto"/>
        <w:ind w:firstLine="480"/>
      </w:pPr>
      <w:r>
        <w:rPr>
          <w:rFonts w:ascii="Times New Roman" w:hAnsi="Times New Roman" w:eastAsia="MS Mincho"/>
          <w:b w:val="0"/>
          <w:i w:val="0"/>
          <w:sz w:val="24"/>
        </w:rPr>
        <w:t xml:space="preserve">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w:t>
      </w:r>
      <w:r>
        <w:rPr>
          <w:rFonts w:ascii="Times New Roman" w:hAnsi="Times New Roman" w:eastAsia="MS Mincho"/>
          <w:b w:val="0"/>
          <w:i/>
          <w:sz w:val="24"/>
        </w:rPr>
        <w:t>μ</w:t>
      </w:r>
      <w:r>
        <w:rPr>
          <w:rFonts w:ascii="Times New Roman" w:hAnsi="Times New Roman" w:eastAsia="MS Mincho"/>
          <w:b w:val="0"/>
          <w:i w:val="0"/>
          <w:sz w:val="24"/>
        </w:rPr>
        <w:t xml:space="preserve">(t)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w:t>
      </w:r>
      <w:r>
        <w:rPr>
          <w:rFonts w:ascii="Times New Roman" w:hAnsi="Times New Roman" w:eastAsia="MS Mincho"/>
          <w:b w:val="0"/>
          <w:i/>
          <w:sz w:val="24"/>
        </w:rPr>
        <w:t>β</w:t>
      </w:r>
      <w:r>
        <w:rPr>
          <w:rFonts w:ascii="Times New Roman" w:hAnsi="Times New Roman" w:eastAsia="MS Mincho"/>
          <w:b w:val="0"/>
          <w:i w:val="0"/>
          <w:sz w:val="24"/>
        </w:rPr>
        <w:t xml:space="preserve"> even when the production-side residuals alone do not.</w:t>
      </w:r>
    </w:p>
    <w:p>
      <w:pPr>
        <w:spacing w:before="360" w:after="120" w:line="480" w:lineRule="auto"/>
      </w:pPr>
      <w:r>
        <w:rPr>
          <w:rFonts w:ascii="Times New Roman" w:hAnsi="Times New Roman" w:eastAsia="MS Mincho"/>
          <w:b/>
          <w:i w:val="0"/>
          <w:sz w:val="24"/>
        </w:rPr>
        <w:t>V.3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480" w:lineRule="auto"/>
        <w:ind w:firstLine="480"/>
      </w:pPr>
      <w:r>
        <w:rPr>
          <w:rFonts w:ascii="Times New Roman" w:hAnsi="Times New Roman" w:eastAsia="MS Mincho"/>
          <w:b w:val="0"/>
          <w:i w:val="0"/>
          <w:sz w:val="24"/>
        </w:rPr>
        <w:t xml:space="preserve">Figure 3 shows PIM-reconstructed capital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alongside CWON-produced capital NW.PCA.TO, both within-country demeaned in log space, for six representative countries. This within-country demeaning is what the joint loss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w:t>
      </w:r>
      <w:r>
        <w:rPr>
          <w:rFonts w:ascii="Times New Roman" w:hAnsi="Times New Roman" w:eastAsia="MS Mincho"/>
          <w:b w:val="0"/>
          <w:i/>
          <w:sz w:val="24"/>
        </w:rPr>
        <w:t>shape</w:t>
      </w:r>
      <w:r>
        <w:rPr>
          <w:rFonts w:ascii="Times New Roman" w:hAnsi="Times New Roman" w:eastAsia="MS Mincho"/>
          <w:b w:val="0"/>
          <w:i w:val="0"/>
          <w:sz w:val="24"/>
        </w:rPr>
        <w:t xml:space="preserv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480" w:lineRule="auto"/>
        <w:ind w:firstLine="480"/>
      </w:pPr>
      <w:r>
        <w:rPr>
          <w:rFonts w:ascii="Times New Roman" w:hAnsi="Times New Roman" w:eastAsia="MS Mincho"/>
          <w:b w:val="0"/>
          <w:i w:val="0"/>
          <w:sz w:val="24"/>
        </w:rPr>
        <w:t xml:space="preserve">Figure 4 examines whether the Japan anomaly is driven by an asset-price revaluation effect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rather than by a real stock discrepancy.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+0.04] shifts the Japanese log-ratio by roughly 0.25 log units in total, implying that the observed ~0.06-log-unit gap corresponds to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 0.02 per year — exactly the order of magnitude of the Japanese land-price deflation from 1995 to 2005. The gap is therefore a revaluation artefact, not a real capital-quantity discrepancy, supporting Hamano and Zhao (2017) and the standard view that Japanese "lost-decade" wealth accounting is dominated by price rather than quantity effects.</w:t>
      </w:r>
    </w:p>
    <w:p>
      <w:pPr>
        <w:spacing w:before="360" w:after="120" w:line="480" w:lineRule="auto"/>
      </w:pPr>
      <w:r>
        <w:rPr>
          <w:rFonts w:ascii="Times New Roman" w:hAnsi="Times New Roman" w:eastAsia="MS Mincho"/>
          <w:b/>
          <w:i w:val="0"/>
          <w:sz w:val="24"/>
        </w:rPr>
        <w:t>V.4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48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480" w:lineRule="auto"/>
        <w:ind w:firstLine="480"/>
      </w:pPr>
      <w:r>
        <w:rPr>
          <w:rFonts w:ascii="Times New Roman" w:hAnsi="Times New Roman" w:eastAsia="MS Mincho"/>
          <w:b w:val="0"/>
          <w:i w:val="0"/>
          <w:sz w:val="24"/>
        </w:rPr>
        <w:t xml:space="preserve">Bootstrap confidence intervals on the joint estimates (Fig. 3) show that, country by country,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are only weakly identified from production-side residuals alone — the median 95 % interval on </w:t>
      </w:r>
      <w:r>
        <w:rPr>
          <w:rFonts w:ascii="Times New Roman" w:hAnsi="Times New Roman" w:eastAsia="MS Mincho"/>
          <w:b w:val="0"/>
          <w:i/>
          <w:sz w:val="24"/>
        </w:rPr>
        <w:t>μ</w:t>
      </w:r>
      <w:r>
        <w:rPr>
          <w:rFonts w:ascii="Times New Roman" w:hAnsi="Times New Roman" w:eastAsia="MS Mincho"/>
          <w:b w:val="0"/>
          <w:i w:val="0"/>
          <w:sz w:val="24"/>
        </w:rPr>
        <w:t xml:space="preserve"> spans almost the entire grid [0.01, 6.0], and the median interval on </w:t>
      </w:r>
      <w:r>
        <w:rPr>
          <w:rFonts w:ascii="Times New Roman" w:hAnsi="Times New Roman" w:eastAsia="MS Mincho"/>
          <w:b w:val="0"/>
          <w:i/>
          <w:sz w:val="24"/>
        </w:rPr>
        <w:t>β</w:t>
      </w:r>
      <w:r>
        <w:rPr>
          <w:rFonts w:ascii="Times New Roman" w:hAnsi="Times New Roman" w:eastAsia="MS Mincho"/>
          <w:b w:val="0"/>
          <w:i w:val="0"/>
          <w:sz w:val="24"/>
        </w:rPr>
        <w:t xml:space="preserve"> spans about 70 % of its grid [0.0, 0.34]. Adding the wealth-side constraint tightens both substantially: joint identification rejects </w:t>
      </w:r>
      <w:r>
        <w:rPr>
          <w:rFonts w:ascii="Times New Roman" w:hAnsi="Times New Roman" w:eastAsia="MS Mincho"/>
          <w:b w:val="0"/>
          <w:i/>
          <w:sz w:val="24"/>
        </w:rPr>
        <w:t>μ</w:t>
      </w:r>
      <w:r>
        <w:rPr>
          <w:rFonts w:ascii="Times New Roman" w:hAnsi="Times New Roman" w:eastAsia="MS Mincho"/>
          <w:b w:val="0"/>
          <w:i w:val="0"/>
          <w:sz w:val="24"/>
        </w:rPr>
        <w:t xml:space="preserve"> = 0 for 35 of 39 countries at 5 % and </w:t>
      </w:r>
      <w:r>
        <w:rPr>
          <w:rFonts w:ascii="Times New Roman" w:hAnsi="Times New Roman" w:eastAsia="MS Mincho"/>
          <w:b w:val="0"/>
          <w:i/>
          <w:sz w:val="24"/>
        </w:rPr>
        <w:t>β</w:t>
      </w:r>
      <w:r>
        <w:rPr>
          <w:rFonts w:ascii="Times New Roman" w:hAnsi="Times New Roman" w:eastAsia="MS Mincho"/>
          <w:b w:val="0"/>
          <w:i w:val="0"/>
          <w:sz w:val="24"/>
        </w:rPr>
        <w:t xml:space="preserve"> = 0 for 28 of 39 countries. This is the main methodological pay-off of the unified framework: neither production nor wealth alone pins down the structural parameters; together they do.</w:t>
      </w:r>
    </w:p>
    <w:p>
      <w:pPr>
        <w:spacing w:after="120" w:line="480" w:lineRule="auto"/>
        <w:ind w:firstLine="480"/>
      </w:pPr>
      <w:r>
        <w:rPr>
          <w:rFonts w:ascii="Times New Roman" w:hAnsi="Times New Roman" w:eastAsia="MS Mincho"/>
          <w:b w:val="0"/>
          <w:i w:val="0"/>
          <w:sz w:val="24"/>
        </w:rPr>
        <w:t xml:space="preserve">A second way to read the bootstrap evidence is that the </w:t>
      </w:r>
      <w:r>
        <w:rPr>
          <w:rFonts w:ascii="Times New Roman" w:hAnsi="Times New Roman" w:eastAsia="MS Mincho"/>
          <w:b w:val="0"/>
          <w:i/>
          <w:sz w:val="24"/>
        </w:rPr>
        <w:t>shape</w:t>
      </w:r>
      <w:r>
        <w:rPr>
          <w:rFonts w:ascii="Times New Roman" w:hAnsi="Times New Roman" w:eastAsia="MS Mincho"/>
          <w:b w:val="0"/>
          <w:i w:val="0"/>
          <w:sz w:val="24"/>
        </w:rPr>
        <w:t xml:space="preserve"> of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is strongly country-specific. For R&amp;D-intensive economies (Israel, Republic of Korea, Sweden, the United States) the posterior region is a tight ellipse in the north-east quadrant (</w:t>
      </w:r>
      <w:r>
        <w:rPr>
          <w:rFonts w:ascii="Times New Roman" w:hAnsi="Times New Roman" w:eastAsia="MS Mincho"/>
          <w:b w:val="0"/>
          <w:i/>
          <w:sz w:val="24"/>
        </w:rPr>
        <w:t>μ</w:t>
      </w:r>
      <w:r>
        <w:rPr>
          <w:rFonts w:ascii="Times New Roman" w:hAnsi="Times New Roman" w:eastAsia="MS Mincho"/>
          <w:b w:val="0"/>
          <w:i w:val="0"/>
          <w:sz w:val="24"/>
        </w:rPr>
        <w:t xml:space="preserve"> ≥ 0.3 years, </w:t>
      </w:r>
      <w:r>
        <w:rPr>
          <w:rFonts w:ascii="Times New Roman" w:hAnsi="Times New Roman" w:eastAsia="MS Mincho"/>
          <w:b w:val="0"/>
          <w:i/>
          <w:sz w:val="24"/>
        </w:rPr>
        <w:t>β</w:t>
      </w:r>
      <w:r>
        <w:rPr>
          <w:rFonts w:ascii="Times New Roman" w:hAnsi="Times New Roman" w:eastAsia="MS Mincho"/>
          <w:b w:val="0"/>
          <w:i w:val="0"/>
          <w:sz w:val="24"/>
        </w:rPr>
        <w:t xml:space="preserve"> ≥ 0.08), implying that both tempo and intangible corrections are operative and separable. For asset-mix-stable economies (Mexico, Colombia, Turkey, Chile) the region is a wide diagonal ridge: the likelihood surface is nearly flat along a line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480" w:lineRule="auto"/>
      </w:pPr>
      <w:r>
        <w:rPr>
          <w:rFonts w:ascii="Times New Roman" w:hAnsi="Times New Roman" w:eastAsia="MS Mincho"/>
          <w:b/>
          <w:i w:val="0"/>
          <w:sz w:val="24"/>
        </w:rPr>
        <w:t>V.5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 xml:space="preserve">Figure 6 and Table 3 report the Relational PIM diagnostics defined in Section III.5. Two findings stand out. First,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the median </w:t>
      </w:r>
      <w:r>
        <w:rPr>
          <w:rFonts w:ascii="Times New Roman" w:hAnsi="Times New Roman" w:eastAsia="MS Mincho"/>
          <w:b w:val="0"/>
          <w:i/>
          <w:sz w:val="24"/>
        </w:rPr>
        <w:t>ρ</w:t>
      </w:r>
      <w:r>
        <w:rPr>
          <w:rFonts w:ascii="Times New Roman" w:hAnsi="Times New Roman" w:eastAsia="MS Mincho"/>
          <w:b w:val="0"/>
          <w:i w:val="0"/>
          <w:sz w:val="24"/>
        </w:rPr>
        <w:t xml:space="preserve">̂₂ across 39 countries is 0.801, substantially below the consistency benchmark of 1.0. Only 9 of 39 countries have </w:t>
      </w:r>
      <w:r>
        <w:rPr>
          <w:rFonts w:ascii="Times New Roman" w:hAnsi="Times New Roman" w:eastAsia="MS Mincho"/>
          <w:b w:val="0"/>
          <w:i/>
          <w:sz w:val="24"/>
        </w:rPr>
        <w:t>ρ</w:t>
      </w:r>
      <w:r>
        <w:rPr>
          <w:rFonts w:ascii="Times New Roman" w:hAnsi="Times New Roman" w:eastAsia="MS Mincho"/>
          <w:b w:val="0"/>
          <w:i w:val="0"/>
          <w:sz w:val="24"/>
        </w:rPr>
        <w:t xml:space="preserve">̂₂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w:t>
      </w:r>
      <w:r>
        <w:rPr>
          <w:rFonts w:ascii="Times New Roman" w:hAnsi="Times New Roman" w:eastAsia="MS Mincho"/>
          <w:b w:val="0"/>
          <w:i/>
          <w:sz w:val="24"/>
        </w:rPr>
        <w:t>ρ</w:t>
      </w:r>
      <w:r>
        <w:rPr>
          <w:rFonts w:ascii="Times New Roman" w:hAnsi="Times New Roman" w:eastAsia="MS Mincho"/>
          <w:b w:val="0"/>
          <w:i w:val="0"/>
          <w:sz w:val="24"/>
        </w:rPr>
        <w:t>̂₂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480" w:lineRule="auto"/>
        <w:ind w:firstLine="480"/>
      </w:pPr>
      <w:r>
        <w:rPr>
          <w:rFonts w:ascii="Times New Roman" w:hAnsi="Times New Roman" w:eastAsia="MS Mincho"/>
          <w:b w:val="0"/>
          <w:i w:val="0"/>
          <w:sz w:val="24"/>
        </w:rPr>
        <w:t xml:space="preserve">Figure 6(b) plots </w:t>
      </w:r>
      <w:r>
        <w:rPr>
          <w:rFonts w:ascii="Times New Roman" w:hAnsi="Times New Roman" w:eastAsia="MS Mincho"/>
          <w:b w:val="0"/>
          <w:i/>
          <w:sz w:val="24"/>
        </w:rPr>
        <w:t>ρ</w:t>
      </w:r>
      <w:r>
        <w:rPr>
          <w:rFonts w:ascii="Times New Roman" w:hAnsi="Times New Roman" w:eastAsia="MS Mincho"/>
          <w:b w:val="0"/>
          <w:i w:val="0"/>
          <w:sz w:val="24"/>
        </w:rPr>
        <w:t xml:space="preserve">̂₁ against </w:t>
      </w:r>
      <w:r>
        <w:rPr>
          <w:rFonts w:ascii="Times New Roman" w:hAnsi="Times New Roman" w:eastAsia="MS Mincho"/>
          <w:b w:val="0"/>
          <w:i/>
          <w:sz w:val="24"/>
        </w:rPr>
        <w:t>ρ</w:t>
      </w:r>
      <w:r>
        <w:rPr>
          <w:rFonts w:ascii="Times New Roman" w:hAnsi="Times New Roman" w:eastAsia="MS Mincho"/>
          <w:b w:val="0"/>
          <w:i w:val="0"/>
          <w:sz w:val="24"/>
        </w:rPr>
        <w:t>̂₂ under M4. Countries that are far from the (</w:t>
      </w:r>
      <w:r>
        <w:rPr>
          <w:rFonts w:ascii="Times New Roman" w:hAnsi="Times New Roman" w:eastAsia="MS Mincho"/>
          <w:b w:val="0"/>
          <w:i/>
          <w:sz w:val="24"/>
        </w:rPr>
        <w:t>ρ</w:t>
      </w:r>
      <w:r>
        <w:rPr>
          <w:rFonts w:ascii="Times New Roman" w:hAnsi="Times New Roman" w:eastAsia="MS Mincho"/>
          <w:b w:val="0"/>
          <w:i w:val="0"/>
          <w:sz w:val="24"/>
        </w:rPr>
        <w:t xml:space="preserve">₁ = 0, </w:t>
      </w:r>
      <w:r>
        <w:rPr>
          <w:rFonts w:ascii="Times New Roman" w:hAnsi="Times New Roman" w:eastAsia="MS Mincho"/>
          <w:b w:val="0"/>
          <w:i/>
          <w:sz w:val="24"/>
        </w:rPr>
        <w:t>ρ</w:t>
      </w:r>
      <w:r>
        <w:rPr>
          <w:rFonts w:ascii="Times New Roman" w:hAnsi="Times New Roman" w:eastAsia="MS Mincho"/>
          <w:b w:val="0"/>
          <w:i w:val="0"/>
          <w:sz w:val="24"/>
        </w:rPr>
        <w:t>₂ = 1) reference point — notably Switzerland (</w:t>
      </w:r>
      <w:r>
        <w:rPr>
          <w:rFonts w:ascii="Times New Roman" w:hAnsi="Times New Roman" w:eastAsia="MS Mincho"/>
          <w:b w:val="0"/>
          <w:i/>
          <w:sz w:val="24"/>
        </w:rPr>
        <w:t>ρ</w:t>
      </w:r>
      <w:r>
        <w:rPr>
          <w:rFonts w:ascii="Times New Roman" w:hAnsi="Times New Roman" w:eastAsia="MS Mincho"/>
          <w:b w:val="0"/>
          <w:i w:val="0"/>
          <w:sz w:val="24"/>
        </w:rPr>
        <w:t>̂₂ ≈ 0.40), Poland (</w:t>
      </w:r>
      <w:r>
        <w:rPr>
          <w:rFonts w:ascii="Times New Roman" w:hAnsi="Times New Roman" w:eastAsia="MS Mincho"/>
          <w:b w:val="0"/>
          <w:i/>
          <w:sz w:val="24"/>
        </w:rPr>
        <w:t>ρ</w:t>
      </w:r>
      <w:r>
        <w:rPr>
          <w:rFonts w:ascii="Times New Roman" w:hAnsi="Times New Roman" w:eastAsia="MS Mincho"/>
          <w:b w:val="0"/>
          <w:i w:val="0"/>
          <w:sz w:val="24"/>
        </w:rPr>
        <w:t>̂₂ ≈ 0.60), and Norway (</w:t>
      </w:r>
      <w:r>
        <w:rPr>
          <w:rFonts w:ascii="Times New Roman" w:hAnsi="Times New Roman" w:eastAsia="MS Mincho"/>
          <w:b w:val="0"/>
          <w:i/>
          <w:sz w:val="24"/>
        </w:rPr>
        <w:t>ρ</w:t>
      </w:r>
      <w:r>
        <w:rPr>
          <w:rFonts w:ascii="Times New Roman" w:hAnsi="Times New Roman" w:eastAsia="MS Mincho"/>
          <w:b w:val="0"/>
          <w:i w:val="0"/>
          <w:sz w:val="24"/>
        </w:rPr>
        <w:t xml:space="preserve">̂₂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closer investigation of the underlying asset-composition assumptions in both accounts.</w:t>
      </w:r>
    </w:p>
    <w:p>
      <w:pPr>
        <w:spacing w:before="360" w:after="120" w:line="480" w:lineRule="auto"/>
      </w:pPr>
      <w:r>
        <w:rPr>
          <w:rFonts w:ascii="Times New Roman" w:hAnsi="Times New Roman" w:eastAsia="MS Mincho"/>
          <w:b/>
          <w:i w:val="0"/>
          <w:sz w:val="24"/>
        </w:rPr>
        <w:t>V.6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480" w:lineRule="auto"/>
        <w:ind w:firstLine="480"/>
      </w:pPr>
      <w:r>
        <w:rPr>
          <w:rFonts w:ascii="Times New Roman" w:hAnsi="Times New Roman" w:eastAsia="MS Mincho"/>
          <w:b w:val="0"/>
          <w:i w:val="0"/>
          <w:sz w:val="24"/>
        </w:rPr>
        <w:t xml:space="preserve">Inklaar's critique (§VI.5) raises the possibility that if the true depreciation rate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 xml:space="preserve">(t). We address this directly by re-estimating the constant lag </w:t>
      </w:r>
      <w:r>
        <w:rPr>
          <w:rFonts w:ascii="Times New Roman" w:hAnsi="Times New Roman" w:eastAsia="MS Mincho"/>
          <w:b w:val="0"/>
          <w:i/>
          <w:sz w:val="24"/>
        </w:rPr>
        <w:t>μ</w:t>
      </w:r>
      <w:r>
        <w:rPr>
          <w:rFonts w:ascii="Times New Roman" w:hAnsi="Times New Roman" w:eastAsia="MS Mincho"/>
          <w:b w:val="0"/>
          <w:i w:val="0"/>
          <w:sz w:val="24"/>
        </w:rPr>
        <w:t xml:space="preserve">̂ (M1) under five depreciation scenarios: </w:t>
      </w:r>
      <w:r>
        <w:rPr>
          <w:rFonts w:ascii="Times New Roman" w:hAnsi="Times New Roman" w:eastAsia="MS Mincho"/>
          <w:b w:val="0"/>
          <w:i/>
          <w:sz w:val="24"/>
        </w:rPr>
        <w:t>δ</w:t>
      </w:r>
      <w:r>
        <w:rPr>
          <w:rFonts w:ascii="Times New Roman" w:hAnsi="Times New Roman" w:eastAsia="MS Mincho"/>
          <w:b w:val="0"/>
          <w:i w:val="0"/>
          <w:sz w:val="24"/>
        </w:rPr>
        <w:t xml:space="preserve"> × {0.80, 0.90, 1.00, 1.10, 1.20}.</w:t>
      </w:r>
    </w:p>
    <w:p>
      <w:pPr>
        <w:spacing w:after="120" w:line="480" w:lineRule="auto"/>
        <w:ind w:firstLine="480"/>
      </w:pPr>
      <w:r>
        <w:rPr>
          <w:rFonts w:ascii="Times New Roman" w:hAnsi="Times New Roman" w:eastAsia="MS Mincho"/>
          <w:b w:val="0"/>
          <w:i w:val="0"/>
          <w:sz w:val="24"/>
        </w:rPr>
        <w:t xml:space="preserve">Figure 7 shows the results. The main finding is that </w:t>
      </w:r>
      <w:r>
        <w:rPr>
          <w:rFonts w:ascii="Times New Roman" w:hAnsi="Times New Roman" w:eastAsia="MS Mincho"/>
          <w:b w:val="0"/>
          <w:i/>
          <w:sz w:val="24"/>
        </w:rPr>
        <w:t>μ</w:t>
      </w:r>
      <w:r>
        <w:rPr>
          <w:rFonts w:ascii="Times New Roman" w:hAnsi="Times New Roman" w:eastAsia="MS Mincho"/>
          <w:b w:val="0"/>
          <w:i w:val="0"/>
          <w:sz w:val="24"/>
        </w:rPr>
        <w:t xml:space="preserve">̂ is remarkably stable across the ±20% depreciation perturbation for most countries. The cross-country mean </w:t>
      </w:r>
      <w:r>
        <w:rPr>
          <w:rFonts w:ascii="Times New Roman" w:hAnsi="Times New Roman" w:eastAsia="MS Mincho"/>
          <w:b w:val="0"/>
          <w:i/>
          <w:sz w:val="24"/>
        </w:rPr>
        <w:t>μ</w:t>
      </w:r>
      <w:r>
        <w:rPr>
          <w:rFonts w:ascii="Times New Roman" w:hAnsi="Times New Roman" w:eastAsia="MS Mincho"/>
          <w:b w:val="0"/>
          <w:i w:val="0"/>
          <w:sz w:val="24"/>
        </w:rPr>
        <w:t>̂ moves from 1.61 years (</w:t>
      </w:r>
      <w:r>
        <w:rPr>
          <w:rFonts w:ascii="Times New Roman" w:hAnsi="Times New Roman" w:eastAsia="MS Mincho"/>
          <w:b w:val="0"/>
          <w:i/>
          <w:sz w:val="24"/>
        </w:rPr>
        <w:t>δ</w:t>
      </w:r>
      <w:r>
        <w:rPr>
          <w:rFonts w:ascii="Times New Roman" w:hAnsi="Times New Roman" w:eastAsia="MS Mincho"/>
          <w:b w:val="0"/>
          <w:i w:val="0"/>
          <w:sz w:val="24"/>
        </w:rPr>
        <w:t xml:space="preserve"> × 0.80) to 1.52 years (</w:t>
      </w:r>
      <w:r>
        <w:rPr>
          <w:rFonts w:ascii="Times New Roman" w:hAnsi="Times New Roman" w:eastAsia="MS Mincho"/>
          <w:b w:val="0"/>
          <w:i/>
          <w:sz w:val="24"/>
        </w:rPr>
        <w:t>δ</w:t>
      </w:r>
      <w:r>
        <w:rPr>
          <w:rFonts w:ascii="Times New Roman" w:hAnsi="Times New Roman" w:eastAsia="MS Mincho"/>
          <w:b w:val="0"/>
          <w:i w:val="0"/>
          <w:sz w:val="24"/>
        </w:rPr>
        <w:t xml:space="preserve"> × 1.20), a shift of only 0.09 years — less than 6% of the baseline estimate. The median </w:t>
      </w:r>
      <w:r>
        <w:rPr>
          <w:rFonts w:ascii="Times New Roman" w:hAnsi="Times New Roman" w:eastAsia="MS Mincho"/>
          <w:b w:val="0"/>
          <w:i/>
          <w:sz w:val="24"/>
        </w:rPr>
        <w:t>μ</w:t>
      </w:r>
      <w:r>
        <w:rPr>
          <w:rFonts w:ascii="Times New Roman" w:hAnsi="Times New Roman" w:eastAsia="MS Mincho"/>
          <w:b w:val="0"/>
          <w:i w:val="0"/>
          <w:sz w:val="24"/>
        </w:rPr>
        <w:t xml:space="preserve">̂ is virtually invariant at 0.26 years across all five scenarios. Countries with interior-solution </w:t>
      </w:r>
      <w:r>
        <w:rPr>
          <w:rFonts w:ascii="Times New Roman" w:hAnsi="Times New Roman" w:eastAsia="MS Mincho"/>
          <w:b w:val="0"/>
          <w:i/>
          <w:sz w:val="24"/>
        </w:rPr>
        <w:t>μ</w:t>
      </w:r>
      <w:r>
        <w:rPr>
          <w:rFonts w:ascii="Times New Roman" w:hAnsi="Times New Roman" w:eastAsia="MS Mincho"/>
          <w:b w:val="0"/>
          <w:i w:val="0"/>
          <w:sz w:val="24"/>
        </w:rPr>
        <w:t xml:space="preserve">̂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perturbation in </w:t>
      </w:r>
      <w:r>
        <w:rPr>
          <w:rFonts w:ascii="Times New Roman" w:hAnsi="Times New Roman" w:eastAsia="MS Mincho"/>
          <w:b w:val="0"/>
          <w:i/>
          <w:sz w:val="24"/>
        </w:rPr>
        <w:t>δ</w:t>
      </w:r>
      <w:r>
        <w:rPr>
          <w:rFonts w:ascii="Times New Roman" w:hAnsi="Times New Roman" w:eastAsia="MS Mincho"/>
          <w:b w:val="0"/>
          <w:i w:val="0"/>
          <w:sz w:val="24"/>
        </w:rPr>
        <w:t xml:space="preserve"> moves </w:t>
      </w:r>
      <w:r>
        <w:rPr>
          <w:rFonts w:ascii="Times New Roman" w:hAnsi="Times New Roman" w:eastAsia="MS Mincho"/>
          <w:b w:val="0"/>
          <w:i/>
          <w:sz w:val="24"/>
        </w:rPr>
        <w:t>μ</w:t>
      </w:r>
      <w:r>
        <w:rPr>
          <w:rFonts w:ascii="Times New Roman" w:hAnsi="Times New Roman" w:eastAsia="MS Mincho"/>
          <w:b w:val="0"/>
          <w:i w:val="0"/>
          <w:sz w:val="24"/>
        </w:rPr>
        <w:t>̂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480" w:lineRule="auto"/>
      </w:pPr>
      <w:r>
        <w:rPr>
          <w:rFonts w:ascii="Times New Roman" w:hAnsi="Times New Roman" w:eastAsia="MS Mincho"/>
          <w:b/>
          <w:i w:val="0"/>
          <w:sz w:val="24"/>
        </w:rPr>
        <w:t>V.7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480" w:lineRule="auto"/>
        <w:ind w:firstLine="480"/>
      </w:pPr>
      <w:r>
        <w:rPr>
          <w:rFonts w:ascii="Times New Roman" w:hAnsi="Times New Roman" w:eastAsia="MS Mincho"/>
          <w:b w:val="0"/>
          <w:i w:val="0"/>
          <w:sz w:val="24"/>
        </w:rPr>
        <w:t xml:space="preserve">Table 1 reports that M4 (joint tempo + intangible) achieves an out-of-sample MAPE of 4.61 %, virtually identical to M0 (4.60 %). This apparent non-improvement deserves scrutiny. Of the 39 countries in our sample, 25 have boundary-solution </w:t>
      </w:r>
      <w:r>
        <w:rPr>
          <w:rFonts w:ascii="Times New Roman" w:hAnsi="Times New Roman" w:eastAsia="MS Mincho"/>
          <w:b w:val="0"/>
          <w:i/>
          <w:sz w:val="24"/>
        </w:rPr>
        <w:t>μ</w:t>
      </w:r>
      <w:r>
        <w:rPr>
          <w:rFonts w:ascii="Times New Roman" w:hAnsi="Times New Roman" w:eastAsia="MS Mincho"/>
          <w:b w:val="0"/>
          <w:i w:val="0"/>
          <w:sz w:val="24"/>
        </w:rPr>
        <w:t>̂ values — either at the lower bound (0.01, effectively zero lag, 18 countries) or at the upper bound (6.0, 7 countries). For these countries, the tempo correction is either inoperative (</w:t>
      </w:r>
      <w:r>
        <w:rPr>
          <w:rFonts w:ascii="Times New Roman" w:hAnsi="Times New Roman" w:eastAsia="MS Mincho"/>
          <w:b w:val="0"/>
          <w:i/>
          <w:sz w:val="24"/>
        </w:rPr>
        <w:t>μ</w:t>
      </w:r>
      <w:r>
        <w:rPr>
          <w:rFonts w:ascii="Times New Roman" w:hAnsi="Times New Roman" w:eastAsia="MS Mincho"/>
          <w:b w:val="0"/>
          <w:i w:val="0"/>
          <w:sz w:val="24"/>
        </w:rPr>
        <w:t>̂ ≈ 0 ≡ M0) or saturated, so the M0–M4 comparison is uninformative by construction.</w:t>
      </w:r>
    </w:p>
    <w:p>
      <w:pPr>
        <w:spacing w:after="120" w:line="480" w:lineRule="auto"/>
        <w:ind w:firstLine="480"/>
      </w:pPr>
      <w:r>
        <w:rPr>
          <w:rFonts w:ascii="Times New Roman" w:hAnsi="Times New Roman" w:eastAsia="MS Mincho"/>
          <w:b w:val="0"/>
          <w:i w:val="0"/>
          <w:sz w:val="24"/>
        </w:rPr>
        <w:t xml:space="preserve">Figure 8 restricts the OOS evaluation to the 14 countries with interior-solution </w:t>
      </w:r>
      <w:r>
        <w:rPr>
          <w:rFonts w:ascii="Times New Roman" w:hAnsi="Times New Roman" w:eastAsia="MS Mincho"/>
          <w:b w:val="0"/>
          <w:i/>
          <w:sz w:val="24"/>
        </w:rPr>
        <w:t>μ</w:t>
      </w:r>
      <w:r>
        <w:rPr>
          <w:rFonts w:ascii="Times New Roman" w:hAnsi="Times New Roman" w:eastAsia="MS Mincho"/>
          <w:b w:val="0"/>
          <w:i w:val="0"/>
          <w:sz w:val="24"/>
        </w:rPr>
        <w:t>̂ (</w:t>
      </w:r>
      <w:r>
        <w:rPr>
          <w:rFonts w:ascii="Times New Roman" w:hAnsi="Times New Roman" w:eastAsia="MS Mincho"/>
          <w:b w:val="0"/>
          <w:i/>
          <w:sz w:val="24"/>
        </w:rPr>
        <w:t>μ</w:t>
      </w:r>
      <w:r>
        <w:rPr>
          <w:rFonts w:ascii="Times New Roman" w:hAnsi="Times New Roman" w:eastAsia="MS Mincho"/>
          <w:b w:val="0"/>
          <w:i w:val="0"/>
          <w:sz w:val="24"/>
        </w:rPr>
        <w:t>̂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480" w:lineRule="auto"/>
      </w:pPr>
      <w:r>
        <w:rPr>
          <w:rFonts w:ascii="Times New Roman" w:hAnsi="Times New Roman" w:eastAsia="MS Mincho"/>
          <w:b/>
          <w:i w:val="0"/>
          <w:sz w:val="24"/>
        </w:rPr>
        <w:t>V.8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 xml:space="preserve">MAPE measures average percentage error in GDP levels but does not capture whether models track the </w:t>
      </w:r>
      <w:r>
        <w:rPr>
          <w:rFonts w:ascii="Times New Roman" w:hAnsi="Times New Roman" w:eastAsia="MS Mincho"/>
          <w:b w:val="0"/>
          <w:i/>
          <w:sz w:val="24"/>
        </w:rPr>
        <w:t>direction</w:t>
      </w:r>
      <w:r>
        <w:rPr>
          <w:rFonts w:ascii="Times New Roman" w:hAnsi="Times New Roman" w:eastAsia="MS Mincho"/>
          <w:b w:val="0"/>
          <w:i w:val="0"/>
          <w:sz w:val="24"/>
        </w:rPr>
        <w:t xml:space="preserve"> of GDP growth or the </w:t>
      </w:r>
      <w:r>
        <w:rPr>
          <w:rFonts w:ascii="Times New Roman" w:hAnsi="Times New Roman" w:eastAsia="MS Mincho"/>
          <w:b w:val="0"/>
          <w:i/>
          <w:sz w:val="24"/>
        </w:rPr>
        <w:t>trajectory</w:t>
      </w:r>
      <w:r>
        <w:rPr>
          <w:rFonts w:ascii="Times New Roman" w:hAnsi="Times New Roman" w:eastAsia="MS Mincho"/>
          <w:b w:val="0"/>
          <w:i w:val="0"/>
          <w:sz w:val="24"/>
        </w:rPr>
        <w:t xml:space="preserve"> of the wealth-side capital stock. Table 4 reports two additional metrics computed on the 2015–2019 hold-out window.</w:t>
      </w:r>
    </w:p>
    <w:p>
      <w:pPr>
        <w:spacing w:after="120" w:line="48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48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480" w:lineRule="auto"/>
      </w:pPr>
      <w:r>
        <w:rPr>
          <w:rFonts w:ascii="Times New Roman" w:hAnsi="Times New Roman" w:eastAsia="MS Mincho"/>
          <w:b/>
          <w:i w:val="0"/>
          <w:sz w:val="24"/>
        </w:rPr>
        <w:t>V.9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480" w:lineRule="auto"/>
        <w:ind w:firstLine="480"/>
      </w:pPr>
      <w:r>
        <w:rPr>
          <w:rFonts w:ascii="Times New Roman" w:hAnsi="Times New Roman" w:eastAsia="MS Mincho"/>
          <w:b w:val="0"/>
          <w:i w:val="0"/>
          <w:sz w:val="24"/>
        </w:rPr>
        <w:t xml:space="preserve">A natural question is whether the cross-country variation in </w:t>
      </w:r>
      <w:r>
        <w:rPr>
          <w:rFonts w:ascii="Times New Roman" w:hAnsi="Times New Roman" w:eastAsia="MS Mincho"/>
          <w:b w:val="0"/>
          <w:i/>
          <w:sz w:val="24"/>
        </w:rPr>
        <w:t>ρ</w:t>
      </w:r>
      <w:r>
        <w:rPr>
          <w:rFonts w:ascii="Times New Roman" w:hAnsi="Times New Roman" w:eastAsia="MS Mincho"/>
          <w:b w:val="0"/>
          <w:i w:val="0"/>
          <w:sz w:val="24"/>
        </w:rPr>
        <w:t xml:space="preserve">̂₂ reflects observable differences in asset composition. Countries with a higher share of intangible and R&amp;D-intensive investment might be expected to show larger PIM–CWON divergences (lower </w:t>
      </w:r>
      <w:r>
        <w:rPr>
          <w:rFonts w:ascii="Times New Roman" w:hAnsi="Times New Roman" w:eastAsia="MS Mincho"/>
          <w:b w:val="0"/>
          <w:i/>
          <w:sz w:val="24"/>
        </w:rPr>
        <w:t>ρ</w:t>
      </w:r>
      <w:r>
        <w:rPr>
          <w:rFonts w:ascii="Times New Roman" w:hAnsi="Times New Roman" w:eastAsia="MS Mincho"/>
          <w:b w:val="0"/>
          <w:i w:val="0"/>
          <w:sz w:val="24"/>
        </w:rPr>
        <w:t xml:space="preserve">̂₂) if their PIM construction omits intangibles, or higher </w:t>
      </w:r>
      <w:r>
        <w:rPr>
          <w:rFonts w:ascii="Times New Roman" w:hAnsi="Times New Roman" w:eastAsia="MS Mincho"/>
          <w:b w:val="0"/>
          <w:i/>
          <w:sz w:val="24"/>
        </w:rPr>
        <w:t>ρ</w:t>
      </w:r>
      <w:r>
        <w:rPr>
          <w:rFonts w:ascii="Times New Roman" w:hAnsi="Times New Roman" w:eastAsia="MS Mincho"/>
          <w:b w:val="0"/>
          <w:i w:val="0"/>
          <w:sz w:val="24"/>
        </w:rPr>
        <w:t>̂₂ if the tempo and intangible corrections in M4 successfully account for the discrepancy.</w:t>
      </w:r>
    </w:p>
    <w:p>
      <w:pPr>
        <w:spacing w:after="120" w:line="480" w:lineRule="auto"/>
        <w:ind w:firstLine="480"/>
      </w:pPr>
      <w:r>
        <w:rPr>
          <w:rFonts w:ascii="Times New Roman" w:hAnsi="Times New Roman" w:eastAsia="MS Mincho"/>
          <w:b w:val="0"/>
          <w:i w:val="0"/>
          <w:sz w:val="24"/>
        </w:rPr>
        <w:t xml:space="preserve">Figure 9 reports a cross-sectional OLS regression of </w:t>
      </w:r>
      <w:r>
        <w:rPr>
          <w:rFonts w:ascii="Times New Roman" w:hAnsi="Times New Roman" w:eastAsia="MS Mincho"/>
          <w:b w:val="0"/>
          <w:i/>
          <w:sz w:val="24"/>
        </w:rPr>
        <w:t>ρ</w:t>
      </w:r>
      <w:r>
        <w:rPr>
          <w:rFonts w:ascii="Times New Roman" w:hAnsi="Times New Roman" w:eastAsia="MS Mincho"/>
          <w:b w:val="0"/>
          <w:i w:val="0"/>
          <w:sz w:val="24"/>
        </w:rPr>
        <w:t>̂₂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w:t>
      </w:r>
      <w:r>
        <w:rPr>
          <w:rFonts w:ascii="Times New Roman" w:hAnsi="Times New Roman" w:eastAsia="MS Mincho"/>
          <w:b w:val="0"/>
          <w:i/>
          <w:sz w:val="24"/>
        </w:rPr>
        <w:t>β</w:t>
      </w:r>
      <w:r>
        <w:rPr>
          <w:rFonts w:ascii="Times New Roman" w:hAnsi="Times New Roman" w:eastAsia="MS Mincho"/>
          <w:b w:val="0"/>
          <w:i w:val="0"/>
          <w:sz w:val="24"/>
        </w:rPr>
        <w:t>) captures a component of the capital stock that is correlated with R&amp;D intensity, thereby reducing the residual PIM–CWON gap for innovation-oriented economies.</w:t>
      </w:r>
    </w:p>
    <w:p>
      <w:pPr>
        <w:spacing w:after="120" w:line="480" w:lineRule="auto"/>
        <w:ind w:firstLine="480"/>
      </w:pPr>
      <w:r>
        <w:rPr>
          <w:rFonts w:ascii="Times New Roman" w:hAnsi="Times New Roman" w:eastAsia="MS Mincho"/>
          <w:b w:val="0"/>
          <w:i w:val="0"/>
          <w:sz w:val="24"/>
        </w:rPr>
        <w:t xml:space="preserve">The cross-sectional R² remains modest (13 %), reflecting the many other sources of PIM–CWON divergence (land-price revaluations, natural-resource rents, differences in asset-life assumptions). The result should therefore be read as suggestive rather than conclusive: </w:t>
      </w:r>
      <w:r>
        <w:rPr>
          <w:rFonts w:ascii="Times New Roman" w:hAnsi="Times New Roman" w:eastAsia="MS Mincho"/>
          <w:b w:val="0"/>
          <w:i/>
          <w:sz w:val="24"/>
        </w:rPr>
        <w:t>ρ</w:t>
      </w:r>
      <w:r>
        <w:rPr>
          <w:rFonts w:ascii="Times New Roman" w:hAnsi="Times New Roman" w:eastAsia="MS Mincho"/>
          <w:b w:val="0"/>
          <w:i w:val="0"/>
          <w:sz w:val="24"/>
        </w:rPr>
        <w:t xml:space="preserve">̂₂ is not random noise but reflects, in part, observable asset-composition differences across countries. This provides indirect engagement with the asset-specific profiles that a single-asset PIM cannot directly model, and points toward a natural extension in which </w:t>
      </w:r>
      <w:r>
        <w:rPr>
          <w:rFonts w:ascii="Times New Roman" w:hAnsi="Times New Roman" w:eastAsia="MS Mincho"/>
          <w:b w:val="0"/>
          <w:i/>
          <w:sz w:val="24"/>
        </w:rPr>
        <w:t>ρ</w:t>
      </w:r>
      <w:r>
        <w:rPr>
          <w:rFonts w:ascii="Times New Roman" w:hAnsi="Times New Roman" w:eastAsia="MS Mincho"/>
          <w:b w:val="0"/>
          <w:i w:val="0"/>
          <w:sz w:val="24"/>
        </w:rPr>
        <w:t>̂₂ is decomposed by asset class as multi-asset PIM data become available.</w:t>
      </w:r>
    </w:p>
    <w:p>
      <w:pPr>
        <w:spacing w:before="360" w:after="120" w:line="480" w:lineRule="auto"/>
      </w:pPr>
      <w:r>
        <w:rPr>
          <w:rFonts w:ascii="Times New Roman" w:hAnsi="Times New Roman" w:eastAsia="MS Mincho"/>
          <w:b/>
          <w:i w:val="0"/>
          <w:sz w:val="24"/>
        </w:rPr>
        <w:t>V.10 Solow-residual historical decomposition</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3435"/>
            <wp:docPr id="10" name="Picture 10"/>
            <wp:cNvGraphicFramePr>
              <a:graphicFrameLocks noChangeAspect="1"/>
            </wp:cNvGraphicFramePr>
            <a:graphic>
              <a:graphicData uri="http://schemas.openxmlformats.org/drawingml/2006/picture">
                <pic:pic>
                  <pic:nvPicPr>
                    <pic:cNvPr id="0" name="fig10_solow_decomp_en.png"/>
                    <pic:cNvPicPr/>
                  </pic:nvPicPr>
                  <pic:blipFill>
                    <a:blip r:embed="rId18"/>
                    <a:stretch>
                      <a:fillRect/>
                    </a:stretch>
                  </pic:blipFill>
                  <pic:spPr>
                    <a:xfrm>
                      <a:off x="0" y="0"/>
                      <a:ext cx="5669280" cy="3353435"/>
                    </a:xfrm>
                    <a:prstGeom prst="rect"/>
                  </pic:spPr>
                </pic:pic>
              </a:graphicData>
            </a:graphic>
          </wp:inline>
        </w:drawing>
      </w:r>
    </w:p>
    <w:p>
      <w:pPr>
        <w:spacing w:after="240"/>
        <w:jc w:val="center"/>
      </w:pPr>
      <w:r>
        <w:rPr>
          <w:rFonts w:ascii="Times New Roman" w:hAnsi="Times New Roman" w:eastAsia="MS Mincho"/>
          <w:b/>
          <w:i w:val="0"/>
          <w:sz w:val="20"/>
        </w:rPr>
        <w:t xml:space="preserve">Fig. 10. </w:t>
      </w:r>
      <w:r>
        <w:rPr>
          <w:rFonts w:ascii="Times New Roman" w:hAnsi="Times New Roman" w:eastAsia="MS Mincho"/>
          <w:b w:val="0"/>
          <w:i w:val="0"/>
          <w:sz w:val="20"/>
        </w:rPr>
        <w:t>Solow-residual decomposition: M0 vs tempo-adjusted (M2) vs joint (M4) for six representative countries.</w:t>
      </w:r>
    </w:p>
    <w:p>
      <w:pPr>
        <w:spacing w:after="120" w:line="480" w:lineRule="auto"/>
        <w:ind w:firstLine="480"/>
      </w:pPr>
      <w:r>
        <w:rPr>
          <w:rFonts w:ascii="Times New Roman" w:hAnsi="Times New Roman" w:eastAsia="MS Mincho"/>
          <w:b w:val="0"/>
          <w:i w:val="0"/>
          <w:sz w:val="24"/>
        </w:rPr>
        <w:t>The analyses reported above establish that M2 and M4 improve on M0 by standard forecast-accuracy metrics. But the economic question is sharper: what fraction of the measured TFP under M0 is a tempo artefact? To answer this, we compute the full time-series TFP under each model for every country (Table 5, Figure 10).</w:t>
      </w:r>
    </w:p>
    <w:p>
      <w:pPr>
        <w:spacing w:after="120" w:line="480" w:lineRule="auto"/>
        <w:ind w:firstLine="480"/>
      </w:pPr>
      <w:r>
        <w:rPr>
          <w:rFonts w:ascii="Times New Roman" w:hAnsi="Times New Roman" w:eastAsia="MS Mincho"/>
          <w:b w:val="0"/>
          <w:i w:val="0"/>
          <w:sz w:val="24"/>
        </w:rPr>
        <w:t xml:space="preserve">Under M0 the Solow residual is log A₀(t) = log Y − </w:t>
      </w:r>
      <w:r>
        <w:rPr>
          <w:rFonts w:ascii="Times New Roman" w:hAnsi="Times New Roman" w:eastAsia="MS Mincho"/>
          <w:b w:val="0"/>
          <w:i/>
          <w:sz w:val="24"/>
        </w:rPr>
        <w:t>α</w:t>
      </w:r>
      <w:r>
        <w:rPr>
          <w:rFonts w:ascii="Times New Roman" w:hAnsi="Times New Roman" w:eastAsia="MS Mincho"/>
          <w:b w:val="0"/>
          <w:i w:val="0"/>
          <w:sz w:val="24"/>
        </w:rPr>
        <w:t xml:space="preserve"> log K₀ − (1 − </w:t>
      </w:r>
      <w:r>
        <w:rPr>
          <w:rFonts w:ascii="Times New Roman" w:hAnsi="Times New Roman" w:eastAsia="MS Mincho"/>
          <w:b w:val="0"/>
          <w:i/>
          <w:sz w:val="24"/>
        </w:rPr>
        <w:t>α</w:t>
      </w:r>
      <w:r>
        <w:rPr>
          <w:rFonts w:ascii="Times New Roman" w:hAnsi="Times New Roman" w:eastAsia="MS Mincho"/>
          <w:b w:val="0"/>
          <w:i w:val="0"/>
          <w:sz w:val="24"/>
        </w:rPr>
        <w:t xml:space="preserve">) log LH, where K₀ is the instant PIM stock. Under M2 the residual becomes log A₂(t) = log Y − </w:t>
      </w:r>
      <w:r>
        <w:rPr>
          <w:rFonts w:ascii="Times New Roman" w:hAnsi="Times New Roman" w:eastAsia="MS Mincho"/>
          <w:b w:val="0"/>
          <w:i/>
          <w:sz w:val="24"/>
        </w:rPr>
        <w:t>α</w:t>
      </w:r>
      <w:r>
        <w:rPr>
          <w:rFonts w:ascii="Times New Roman" w:hAnsi="Times New Roman" w:eastAsia="MS Mincho"/>
          <w:b w:val="0"/>
          <w:i w:val="0"/>
          <w:sz w:val="24"/>
        </w:rPr>
        <w:t xml:space="preserve"> log K₂ − (1 − </w:t>
      </w:r>
      <w:r>
        <w:rPr>
          <w:rFonts w:ascii="Times New Roman" w:hAnsi="Times New Roman" w:eastAsia="MS Mincho"/>
          <w:b w:val="0"/>
          <w:i/>
          <w:sz w:val="24"/>
        </w:rPr>
        <w:t>α</w:t>
      </w:r>
      <w:r>
        <w:rPr>
          <w:rFonts w:ascii="Times New Roman" w:hAnsi="Times New Roman" w:eastAsia="MS Mincho"/>
          <w:b w:val="0"/>
          <w:i w:val="0"/>
          <w:sz w:val="24"/>
        </w:rPr>
        <w:t>) log LH, where K₂ is the tempo-drift PIM stock. The difference in growth-rate variance — Var(</w:t>
      </w:r>
      <w:r>
        <w:rPr>
          <w:rFonts w:ascii="Times New Roman" w:hAnsi="Times New Roman" w:eastAsia="MS Mincho"/>
          <w:b w:val="0"/>
          <w:i/>
          <w:sz w:val="24"/>
        </w:rPr>
        <w:t>Δ</w:t>
      </w:r>
      <w:r>
        <w:rPr>
          <w:rFonts w:ascii="Times New Roman" w:hAnsi="Times New Roman" w:eastAsia="MS Mincho"/>
          <w:b w:val="0"/>
          <w:i w:val="0"/>
          <w:sz w:val="24"/>
        </w:rPr>
        <w:t xml:space="preserve"> log A₀) versus Var(</w:t>
      </w:r>
      <w:r>
        <w:rPr>
          <w:rFonts w:ascii="Times New Roman" w:hAnsi="Times New Roman" w:eastAsia="MS Mincho"/>
          <w:b w:val="0"/>
          <w:i/>
          <w:sz w:val="24"/>
        </w:rPr>
        <w:t>Δ</w:t>
      </w:r>
      <w:r>
        <w:rPr>
          <w:rFonts w:ascii="Times New Roman" w:hAnsi="Times New Roman" w:eastAsia="MS Mincho"/>
          <w:b w:val="0"/>
          <w:i w:val="0"/>
          <w:sz w:val="24"/>
        </w:rPr>
        <w:t xml:space="preserve"> log A₂) — measures how much TFP-growth variation is absorbed by the time-to-build correction. Across the 39 countries, the median variance reduction attributable to tempo drift alone (M0 → M2) is 2.1 %, but it exceeds 8 % for Sweden, Slovakia, New Zealand, and Norway, and reaches 13.8 % for New Zealand. The joint correction (M0 → M4), which also absorbs the intangible share </w:t>
      </w:r>
      <w:r>
        <w:rPr>
          <w:rFonts w:ascii="Times New Roman" w:hAnsi="Times New Roman" w:eastAsia="MS Mincho"/>
          <w:b w:val="0"/>
          <w:i/>
          <w:sz w:val="24"/>
        </w:rPr>
        <w:t>β</w:t>
      </w:r>
      <w:r>
        <w:rPr>
          <w:rFonts w:ascii="Times New Roman" w:hAnsi="Times New Roman" w:eastAsia="MS Mincho"/>
          <w:b w:val="0"/>
          <w:i w:val="0"/>
          <w:sz w:val="24"/>
        </w:rPr>
        <w:t>, achieves a median variance reduction of 2.7 %, with France (29.7 %), Luxembourg (14.6 %), Netherlands (10.7 %), and Italy (11.0 %) showing the largest shifts.</w:t>
      </w:r>
    </w:p>
    <w:p>
      <w:pPr>
        <w:spacing w:after="120" w:line="480" w:lineRule="auto"/>
        <w:ind w:firstLine="480"/>
      </w:pPr>
      <w:r>
        <w:rPr>
          <w:rFonts w:ascii="Times New Roman" w:hAnsi="Times New Roman" w:eastAsia="MS Mincho"/>
          <w:b w:val="0"/>
          <w:i w:val="0"/>
          <w:sz w:val="24"/>
        </w:rPr>
        <w:t xml:space="preserve">Figure 10 displays the time-series TFP paths for six representative countries: Japan, the United States, Germany, the Republic of Korea, the United Kingdom, and France. In each panel the shaded area between the M0 and M2 curves measures the tempo artefact. For France the M0 and M4 residuals diverge sharply after 2005, consistent with the large </w:t>
      </w:r>
      <w:r>
        <w:rPr>
          <w:rFonts w:ascii="Times New Roman" w:hAnsi="Times New Roman" w:eastAsia="MS Mincho"/>
          <w:b w:val="0"/>
          <w:i/>
          <w:sz w:val="24"/>
        </w:rPr>
        <w:t>β</w:t>
      </w:r>
      <w:r>
        <w:rPr>
          <w:rFonts w:ascii="Times New Roman" w:hAnsi="Times New Roman" w:eastAsia="MS Mincho"/>
          <w:b w:val="0"/>
          <w:i w:val="0"/>
          <w:sz w:val="24"/>
        </w:rPr>
        <w:t>̂ = 0.34 estimated for France (Table 1). These results provide the core answer to the "so what?" question: a non-trivial share of what has been labelled TFP growth is an accounting distortion that disappears once the capital stock is timed correctly and intangibles are allowed.</w:t>
      </w:r>
    </w:p>
    <w:p>
      <w:pPr>
        <w:spacing w:before="360" w:after="120" w:line="480" w:lineRule="auto"/>
      </w:pPr>
      <w:r>
        <w:rPr>
          <w:rFonts w:ascii="Times New Roman" w:hAnsi="Times New Roman" w:eastAsia="MS Mincho"/>
          <w:b/>
          <w:i w:val="0"/>
          <w:sz w:val="24"/>
        </w:rPr>
        <w:t>V.11 Counterfactual wealth: what if β entered official statistics?</w:t>
      </w:r>
    </w:p>
    <w:p>
      <w:pPr>
        <w:spacing w:before="360" w:after="120"/>
        <w:jc w:val="center"/>
      </w:pPr>
      <w:r>
        <w:drawing>
          <wp:inline xmlns:a="http://schemas.openxmlformats.org/drawingml/2006/main" xmlns:pic="http://schemas.openxmlformats.org/drawingml/2006/picture">
            <wp:extent cx="5669280" cy="2813466"/>
            <wp:docPr id="11" name="Picture 11"/>
            <wp:cNvGraphicFramePr>
              <a:graphicFrameLocks noChangeAspect="1"/>
            </wp:cNvGraphicFramePr>
            <a:graphic>
              <a:graphicData uri="http://schemas.openxmlformats.org/drawingml/2006/picture">
                <pic:pic>
                  <pic:nvPicPr>
                    <pic:cNvPr id="0" name="fig11_counterfactual_wealth_en.png"/>
                    <pic:cNvPicPr/>
                  </pic:nvPicPr>
                  <pic:blipFill>
                    <a:blip r:embed="rId19"/>
                    <a:stretch>
                      <a:fillRect/>
                    </a:stretch>
                  </pic:blipFill>
                  <pic:spPr>
                    <a:xfrm>
                      <a:off x="0" y="0"/>
                      <a:ext cx="5669280" cy="2813466"/>
                    </a:xfrm>
                    <a:prstGeom prst="rect"/>
                  </pic:spPr>
                </pic:pic>
              </a:graphicData>
            </a:graphic>
          </wp:inline>
        </w:drawing>
      </w:r>
    </w:p>
    <w:p>
      <w:pPr>
        <w:spacing w:after="240"/>
        <w:jc w:val="center"/>
      </w:pPr>
      <w:r>
        <w:rPr>
          <w:rFonts w:ascii="Times New Roman" w:hAnsi="Times New Roman" w:eastAsia="MS Mincho"/>
          <w:b/>
          <w:i w:val="0"/>
          <w:sz w:val="20"/>
        </w:rPr>
        <w:t xml:space="preserve">Fig. 11. </w:t>
      </w:r>
      <w:r>
        <w:rPr>
          <w:rFonts w:ascii="Times New Roman" w:hAnsi="Times New Roman" w:eastAsia="MS Mincho"/>
          <w:b w:val="0"/>
          <w:i w:val="0"/>
          <w:sz w:val="20"/>
        </w:rPr>
        <w:t>National wealth: CWON official vs intangible-adjusted produced capital (2019).</w:t>
      </w:r>
    </w:p>
    <w:p>
      <w:pPr>
        <w:spacing w:after="120" w:line="480" w:lineRule="auto"/>
        <w:ind w:firstLine="480"/>
      </w:pPr>
      <w:r>
        <w:rPr>
          <w:rFonts w:ascii="Times New Roman" w:hAnsi="Times New Roman" w:eastAsia="MS Mincho"/>
          <w:b w:val="0"/>
          <w:i w:val="0"/>
          <w:sz w:val="24"/>
        </w:rPr>
        <w:t xml:space="preserve">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has a direct policy implication: if </w:t>
      </w:r>
      <w:r>
        <w:rPr>
          <w:rFonts w:ascii="Times New Roman" w:hAnsi="Times New Roman" w:eastAsia="MS Mincho"/>
          <w:b w:val="0"/>
          <w:i/>
          <w:sz w:val="24"/>
        </w:rPr>
        <w:t>β</w:t>
      </w:r>
      <w:r>
        <w:rPr>
          <w:rFonts w:ascii="Times New Roman" w:hAnsi="Times New Roman" w:eastAsia="MS Mincho"/>
          <w:b w:val="0"/>
          <w:i w:val="0"/>
          <w:sz w:val="24"/>
        </w:rPr>
        <w:t xml:space="preserve"> were included in official wealth accounts, national produced capital would be revised upward. To quantify this, we compute the counterfactual produced capital for each country at 2019 as CWON</w:t>
      </w:r>
      <w:r>
        <w:rPr>
          <w:rFonts w:ascii="Times New Roman" w:hAnsi="Times New Roman" w:eastAsia="MS Mincho"/>
          <w:b w:val="0"/>
          <w:i/>
          <w:sz w:val="24"/>
          <w:vertAlign w:val="subscript"/>
        </w:rPr>
        <w:t>P</w:t>
      </w:r>
      <w:r>
        <w:rPr>
          <w:rFonts w:ascii="Times New Roman" w:hAnsi="Times New Roman" w:eastAsia="MS Mincho"/>
          <w:b w:val="0"/>
          <w:i w:val="0"/>
          <w:sz w:val="24"/>
        </w:rPr>
        <w:t xml:space="preserve">CA × (1 + </w:t>
      </w:r>
      <w:r>
        <w:rPr>
          <w:rFonts w:ascii="Times New Roman" w:hAnsi="Times New Roman" w:eastAsia="MS Mincho"/>
          <w:b w:val="0"/>
          <w:i/>
          <w:sz w:val="24"/>
        </w:rPr>
        <w:t>β</w:t>
      </w:r>
      <w:r>
        <w:rPr>
          <w:rFonts w:ascii="Times New Roman" w:hAnsi="Times New Roman" w:eastAsia="MS Mincho"/>
          <w:b w:val="0"/>
          <w:i w:val="0"/>
          <w:sz w:val="24"/>
        </w:rPr>
        <w:t>̂ ×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where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is the ratio of the intangible to tangible PIM stock evaluated at 2019.</w:t>
      </w:r>
    </w:p>
    <w:p>
      <w:pPr>
        <w:spacing w:after="120" w:line="480" w:lineRule="auto"/>
        <w:ind w:firstLine="480"/>
      </w:pPr>
      <w:r>
        <w:rPr>
          <w:rFonts w:ascii="Times New Roman" w:hAnsi="Times New Roman" w:eastAsia="MS Mincho"/>
          <w:b w:val="0"/>
          <w:i w:val="0"/>
          <w:sz w:val="24"/>
        </w:rPr>
        <w:t xml:space="preserve">Figure 11 displays the results for the 21 countries with </w:t>
      </w:r>
      <w:r>
        <w:rPr>
          <w:rFonts w:ascii="Times New Roman" w:hAnsi="Times New Roman" w:eastAsia="MS Mincho"/>
          <w:b w:val="0"/>
          <w:i/>
          <w:sz w:val="24"/>
        </w:rPr>
        <w:t>β</w:t>
      </w:r>
      <w:r>
        <w:rPr>
          <w:rFonts w:ascii="Times New Roman" w:hAnsi="Times New Roman" w:eastAsia="MS Mincho"/>
          <w:b w:val="0"/>
          <w:i w:val="0"/>
          <w:sz w:val="24"/>
        </w:rPr>
        <w:t xml:space="preserve">̂ &gt; 0. The Netherlands, France, and Norway show the largest adjustments (0.9–1.1 %), driven by the combination of high </w:t>
      </w:r>
      <w:r>
        <w:rPr>
          <w:rFonts w:ascii="Times New Roman" w:hAnsi="Times New Roman" w:eastAsia="MS Mincho"/>
          <w:b w:val="0"/>
          <w:i/>
          <w:sz w:val="24"/>
        </w:rPr>
        <w:t>β</w:t>
      </w:r>
      <w:r>
        <w:rPr>
          <w:rFonts w:ascii="Times New Roman" w:hAnsi="Times New Roman" w:eastAsia="MS Mincho"/>
          <w:b w:val="0"/>
          <w:i w:val="0"/>
          <w:sz w:val="24"/>
        </w:rPr>
        <w:t>̂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w:t>
      </w:r>
    </w:p>
    <w:p>
      <w:pPr>
        <w:spacing w:after="120" w:line="480" w:lineRule="auto"/>
        <w:ind w:firstLine="480"/>
      </w:pPr>
      <w:r>
        <w:rPr>
          <w:rFonts w:ascii="Times New Roman" w:hAnsi="Times New Roman" w:eastAsia="MS Mincho"/>
          <w:b w:val="0"/>
          <w:i w:val="0"/>
          <w:sz w:val="24"/>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480" w:lineRule="auto"/>
        <w:jc w:val="center"/>
      </w:pPr>
      <w:r>
        <w:rPr>
          <w:rFonts w:ascii="Times New Roman" w:hAnsi="Times New Roman" w:eastAsia="MS Mincho"/>
          <w:b/>
          <w:i w:val="0"/>
          <w:sz w:val="28"/>
        </w:rPr>
        <w:t>VI DISCUSSION</w:t>
      </w:r>
    </w:p>
    <w:p>
      <w:pPr>
        <w:spacing w:after="120" w:line="480" w:lineRule="auto"/>
        <w:ind w:firstLine="480"/>
      </w:pPr>
      <w:r>
        <w:rPr>
          <w:rFonts w:ascii="Times New Roman" w:hAnsi="Times New Roman" w:eastAsia="MS Mincho"/>
          <w:b w:val="0"/>
          <w:i w:val="0"/>
          <w:sz w:val="24"/>
        </w:rPr>
        <w:t xml:space="preserve">We now step back from the technical results and consider what a time-varying </w:t>
      </w:r>
      <w:r>
        <w:rPr>
          <w:rFonts w:ascii="Times New Roman" w:hAnsi="Times New Roman" w:eastAsia="MS Mincho"/>
          <w:b w:val="0"/>
          <w:i/>
          <w:sz w:val="24"/>
        </w:rPr>
        <w:t>μ</w:t>
      </w:r>
      <w:r>
        <w:rPr>
          <w:rFonts w:ascii="Times New Roman" w:hAnsi="Times New Roman" w:eastAsia="MS Mincho"/>
          <w:b w:val="0"/>
          <w:i w:val="0"/>
          <w:sz w:val="24"/>
        </w:rPr>
        <w:t xml:space="preserve">(t) and a nonzero </w:t>
      </w:r>
      <w:r>
        <w:rPr>
          <w:rFonts w:ascii="Times New Roman" w:hAnsi="Times New Roman" w:eastAsia="MS Mincho"/>
          <w:b w:val="0"/>
          <w:i/>
          <w:sz w:val="24"/>
        </w:rPr>
        <w:t>β</w:t>
      </w:r>
      <w:r>
        <w:rPr>
          <w:rFonts w:ascii="Times New Roman" w:hAnsi="Times New Roman" w:eastAsia="MS Mincho"/>
          <w:b w:val="0"/>
          <w:i w:val="0"/>
          <w:sz w:val="24"/>
        </w:rPr>
        <w:t xml:space="preserve"> mean for four active debates in economic measurement.</w:t>
      </w:r>
    </w:p>
    <w:p>
      <w:pPr>
        <w:spacing w:before="360" w:after="120" w:line="480" w:lineRule="auto"/>
      </w:pPr>
      <w:r>
        <w:rPr>
          <w:rFonts w:ascii="Times New Roman" w:hAnsi="Times New Roman" w:eastAsia="MS Mincho"/>
          <w:b/>
          <w:i w:val="0"/>
          <w:sz w:val="24"/>
        </w:rPr>
        <w:t>VI.1 Re-interpreting the Solow residual</w:t>
      </w:r>
    </w:p>
    <w:p>
      <w:pPr>
        <w:spacing w:after="120" w:line="480" w:lineRule="auto"/>
        <w:ind w:firstLine="480"/>
      </w:pPr>
      <w:r>
        <w:rPr>
          <w:rFonts w:ascii="Times New Roman" w:hAnsi="Times New Roman" w:eastAsia="MS Mincho"/>
          <w:b w:val="0"/>
          <w:i w:val="0"/>
          <w:sz w:val="24"/>
        </w:rPr>
        <w:t xml:space="preserve">The historical decomposition of Section V.10 puts a number on the long-standing suspicion that the Solow residual conflates genuine innovation with capital-stock mismeasurement.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w:t>
      </w:r>
      <w:r>
        <w:rPr>
          <w:rFonts w:ascii="Times New Roman" w:hAnsi="Times New Roman" w:eastAsia="MS Mincho"/>
          <w:b w:val="0"/>
          <w:i/>
          <w:sz w:val="24"/>
        </w:rPr>
        <w:t>μ</w:t>
      </w:r>
      <w:r>
        <w:rPr>
          <w:rFonts w:ascii="Times New Roman" w:hAnsi="Times New Roman" w:eastAsia="MS Mincho"/>
          <w:b w:val="0"/>
          <w:i w:val="0"/>
          <w:sz w:val="24"/>
        </w:rPr>
        <w:t xml:space="preserve">(t) and the intangible share </w:t>
      </w:r>
      <w:r>
        <w:rPr>
          <w:rFonts w:ascii="Times New Roman" w:hAnsi="Times New Roman" w:eastAsia="MS Mincho"/>
          <w:b w:val="0"/>
          <w:i/>
          <w:sz w:val="24"/>
        </w:rPr>
        <w:t>β</w:t>
      </w:r>
      <w:r>
        <w:rPr>
          <w:rFonts w:ascii="Times New Roman" w:hAnsi="Times New Roman" w:eastAsia="MS Mincho"/>
          <w:b w:val="0"/>
          <w:i w:val="0"/>
          <w:sz w:val="24"/>
        </w:rPr>
        <w:t>. This is not a claim that innovation is unimportant; it is a claim that the accounting should be done before any residual interpretation.</w:t>
      </w:r>
    </w:p>
    <w:p>
      <w:pPr>
        <w:spacing w:before="360" w:after="120" w:line="480" w:lineRule="auto"/>
      </w:pPr>
      <w:r>
        <w:rPr>
          <w:rFonts w:ascii="Times New Roman" w:hAnsi="Times New Roman" w:eastAsia="MS Mincho"/>
          <w:b/>
          <w:i w:val="0"/>
          <w:sz w:val="24"/>
        </w:rPr>
        <w:t>VI.2 The Bongaarts-Feeney-Goldstein-Lutz-Scherbov analogy</w:t>
      </w:r>
    </w:p>
    <w:p>
      <w:pPr>
        <w:spacing w:after="120" w:line="480" w:lineRule="auto"/>
        <w:ind w:firstLine="480"/>
      </w:pPr>
      <w:r>
        <w:rPr>
          <w:rFonts w:ascii="Times New Roman" w:hAnsi="Times New Roman" w:eastAsia="MS Mincho"/>
          <w:b w:val="0"/>
          <w:i w:val="0"/>
          <w:sz w:val="24"/>
        </w:rPr>
        <w:t>Table 2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480" w:lineRule="auto"/>
        <w:ind w:firstLine="480"/>
      </w:pPr>
      <w:r>
        <w:rPr>
          <w:rFonts w:ascii="Times New Roman" w:hAnsi="Times New Roman" w:eastAsia="MS Mincho"/>
          <w:b w:val="0"/>
          <w:i w:val="0"/>
          <w:sz w:val="24"/>
        </w:rPr>
        <w:t xml:space="preserve">At the most conservative level, the results of Section V show that a </w:t>
      </w:r>
      <w:r>
        <w:rPr>
          <w:rFonts w:ascii="Times New Roman" w:hAnsi="Times New Roman" w:eastAsia="MS Mincho"/>
          <w:b w:val="0"/>
          <w:i/>
          <w:sz w:val="24"/>
        </w:rPr>
        <w:t>fraction</w:t>
      </w:r>
      <w:r>
        <w:rPr>
          <w:rFonts w:ascii="Times New Roman" w:hAnsi="Times New Roman" w:eastAsia="MS Mincho"/>
          <w:b w:val="0"/>
          <w:i w:val="0"/>
          <w:sz w:val="24"/>
        </w:rPr>
        <w:t xml:space="preserve"> of what we have been calling TFP growth is a book-keeping artefact that disappears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w:t>
      </w:r>
      <w:r>
        <w:rPr>
          <w:rFonts w:ascii="Times New Roman" w:hAnsi="Times New Roman" w:eastAsia="MS Mincho"/>
          <w:b w:val="0"/>
          <w:i/>
          <w:sz w:val="24"/>
        </w:rPr>
        <w:t>is</w:t>
      </w:r>
      <w:r>
        <w:rPr>
          <w:rFonts w:ascii="Times New Roman" w:hAnsi="Times New Roman" w:eastAsia="MS Mincho"/>
          <w:b w:val="0"/>
          <w:i w:val="0"/>
          <w:sz w:val="24"/>
        </w:rPr>
        <w:t xml:space="preserve">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w:t>
      </w:r>
      <w:r>
        <w:rPr>
          <w:rFonts w:ascii="Times New Roman" w:hAnsi="Times New Roman" w:eastAsia="MS Mincho"/>
          <w:b w:val="0"/>
          <w:i/>
          <w:sz w:val="24"/>
        </w:rPr>
        <w:t>μ</w:t>
      </w:r>
      <w:r>
        <w:rPr>
          <w:rFonts w:ascii="Times New Roman" w:hAnsi="Times New Roman" w:eastAsia="MS Mincho"/>
          <w:b w:val="0"/>
          <w:i w:val="0"/>
          <w:sz w:val="24"/>
        </w:rPr>
        <w:t xml:space="preserve">, zero </w:t>
      </w:r>
      <w:r>
        <w:rPr>
          <w:rFonts w:ascii="Times New Roman" w:hAnsi="Times New Roman" w:eastAsia="MS Mincho"/>
          <w:b w:val="0"/>
          <w:i/>
          <w:sz w:val="24"/>
        </w:rPr>
        <w:t>β</w:t>
      </w:r>
      <w:r>
        <w:rPr>
          <w:rFonts w:ascii="Times New Roman" w:hAnsi="Times New Roman" w:eastAsia="MS Mincho"/>
          <w:b w:val="0"/>
          <w:i w:val="0"/>
          <w:sz w:val="24"/>
        </w:rPr>
        <w:t>) that has dominated a half-century of growth accounting.</w:t>
      </w:r>
    </w:p>
    <w:p>
      <w:pPr>
        <w:spacing w:before="360" w:after="120" w:line="480" w:lineRule="auto"/>
      </w:pPr>
      <w:r>
        <w:rPr>
          <w:rFonts w:ascii="Times New Roman" w:hAnsi="Times New Roman" w:eastAsia="MS Mincho"/>
          <w:b/>
          <w:i w:val="0"/>
          <w:sz w:val="24"/>
        </w:rPr>
        <w:t>VI.3 Flow–stock reconciliation and Beyond-GDP</w:t>
      </w:r>
    </w:p>
    <w:p>
      <w:pPr>
        <w:spacing w:after="120" w:line="480" w:lineRule="auto"/>
        <w:ind w:firstLine="480"/>
      </w:pPr>
      <w:r>
        <w:rPr>
          <w:rFonts w:ascii="Times New Roman" w:hAnsi="Times New Roman" w:eastAsia="MS Mincho"/>
          <w:b w:val="0"/>
          <w:i w:val="0"/>
          <w:sz w:val="24"/>
        </w:rPr>
        <w:t xml:space="preserve">The Beyond-GDP programme has spent twenty years arguing that flow measures (GDP) should be replaced or augmented by stock measures (IWI, CWON, SEEA). Our results suggest a more constructive synthesis: flow and stock measures are </w:t>
      </w:r>
      <w:r>
        <w:rPr>
          <w:rFonts w:ascii="Times New Roman" w:hAnsi="Times New Roman" w:eastAsia="MS Mincho"/>
          <w:b w:val="0"/>
          <w:i/>
          <w:sz w:val="24"/>
        </w:rPr>
        <w:t>both</w:t>
      </w:r>
      <w:r>
        <w:rPr>
          <w:rFonts w:ascii="Times New Roman" w:hAnsi="Times New Roman" w:eastAsia="MS Mincho"/>
          <w:b w:val="0"/>
          <w:i w:val="0"/>
          <w:sz w:val="24"/>
        </w:rPr>
        <w:t xml:space="preserve"> biased by ignored hidden parameters, and they bias </w:t>
      </w:r>
      <w:r>
        <w:rPr>
          <w:rFonts w:ascii="Times New Roman" w:hAnsi="Times New Roman" w:eastAsia="MS Mincho"/>
          <w:b w:val="0"/>
          <w:i/>
          <w:sz w:val="24"/>
        </w:rPr>
        <w:t>in the same direction</w:t>
      </w:r>
      <w:r>
        <w:rPr>
          <w:rFonts w:ascii="Times New Roman" w:hAnsi="Times New Roman" w:eastAsia="MS Mincho"/>
          <w:b w:val="0"/>
          <w:i w:val="0"/>
          <w:sz w:val="24"/>
        </w:rPr>
        <w:t xml:space="preserve"> once the parameters are made explicit. A reader who trusts CWON-produced capital as a gold standard for wealth accounting should also trust a PIM stock built with a time-varying </w:t>
      </w:r>
      <w:r>
        <w:rPr>
          <w:rFonts w:ascii="Times New Roman" w:hAnsi="Times New Roman" w:eastAsia="MS Mincho"/>
          <w:b w:val="0"/>
          <w:i/>
          <w:sz w:val="24"/>
        </w:rPr>
        <w:t>μ</w:t>
      </w:r>
      <w:r>
        <w:rPr>
          <w:rFonts w:ascii="Times New Roman" w:hAnsi="Times New Roman" w:eastAsia="MS Mincho"/>
          <w:b w:val="0"/>
          <w:i w:val="0"/>
          <w:sz w:val="24"/>
        </w:rPr>
        <w:t xml:space="preserve">(t) and a nonzero </w:t>
      </w:r>
      <w:r>
        <w:rPr>
          <w:rFonts w:ascii="Times New Roman" w:hAnsi="Times New Roman" w:eastAsia="MS Mincho"/>
          <w:b w:val="0"/>
          <w:i/>
          <w:sz w:val="24"/>
        </w:rPr>
        <w:t>β</w:t>
      </w:r>
      <w:r>
        <w:rPr>
          <w:rFonts w:ascii="Times New Roman" w:hAnsi="Times New Roman" w:eastAsia="MS Mincho"/>
          <w:b w:val="0"/>
          <w:i w:val="0"/>
          <w:sz w:val="24"/>
        </w:rPr>
        <w:t xml:space="preserve">, because those two series now agree to 1–2 % for most countries (Fig. 3). The practical route to Beyond-GDP is not to abandon the flow account but to audit it for tempo drift and for hidden </w:t>
      </w:r>
      <w:r>
        <w:rPr>
          <w:rFonts w:ascii="Times New Roman" w:hAnsi="Times New Roman" w:eastAsia="MS Mincho"/>
          <w:b w:val="0"/>
          <w:i/>
          <w:sz w:val="24"/>
        </w:rPr>
        <w:t>β</w:t>
      </w:r>
      <w:r>
        <w:rPr>
          <w:rFonts w:ascii="Times New Roman" w:hAnsi="Times New Roman" w:eastAsia="MS Mincho"/>
          <w:b w:val="0"/>
          <w:i w:val="0"/>
          <w:sz w:val="24"/>
        </w:rPr>
        <w:t>, just as the period total fertility rate was audited in the late 1990s.</w:t>
      </w:r>
    </w:p>
    <w:p>
      <w:pPr>
        <w:spacing w:after="120" w:line="480" w:lineRule="auto"/>
        <w:ind w:firstLine="480"/>
      </w:pPr>
      <w:r>
        <w:rPr>
          <w:rFonts w:ascii="Times New Roman" w:hAnsi="Times New Roman" w:eastAsia="MS Mincho"/>
          <w:b w:val="0"/>
          <w:i w:val="0"/>
          <w:sz w:val="24"/>
        </w:rPr>
        <w:t xml:space="preserve">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w:t>
      </w:r>
      <w:r>
        <w:rPr>
          <w:rFonts w:ascii="Times New Roman" w:hAnsi="Times New Roman" w:eastAsia="MS Mincho"/>
          <w:b w:val="0"/>
          <w:i/>
          <w:sz w:val="24"/>
        </w:rPr>
        <w:t>μ</w:t>
      </w:r>
      <w:r>
        <w:rPr>
          <w:rFonts w:ascii="Times New Roman" w:hAnsi="Times New Roman" w:eastAsia="MS Mincho"/>
          <w:b w:val="0"/>
          <w:i w:val="0"/>
          <w:sz w:val="24"/>
        </w:rPr>
        <w:t xml:space="preserve">, country-specific </w:t>
      </w:r>
      <w:r>
        <w:rPr>
          <w:rFonts w:ascii="Times New Roman" w:hAnsi="Times New Roman" w:eastAsia="MS Mincho"/>
          <w:b w:val="0"/>
          <w:i/>
          <w:sz w:val="24"/>
        </w:rPr>
        <w:t>β</w:t>
      </w:r>
      <w:r>
        <w:rPr>
          <w:rFonts w:ascii="Times New Roman" w:hAnsi="Times New Roman" w:eastAsia="MS Mincho"/>
          <w:b w:val="0"/>
          <w:i w:val="0"/>
          <w:sz w:val="24"/>
        </w:rPr>
        <w:t xml:space="preserve"> drift, interaction terms between </w:t>
      </w:r>
      <w:r>
        <w:rPr>
          <w:rFonts w:ascii="Times New Roman" w:hAnsi="Times New Roman" w:eastAsia="MS Mincho"/>
          <w:b w:val="0"/>
          <w:i/>
          <w:sz w:val="24"/>
        </w:rPr>
        <w:t>μ</w:t>
      </w:r>
      <w:r>
        <w:rPr>
          <w:rFonts w:ascii="Times New Roman" w:hAnsi="Times New Roman" w:eastAsia="MS Mincho"/>
          <w:b w:val="0"/>
          <w:i w:val="0"/>
          <w:sz w:val="24"/>
        </w:rPr>
        <w:t xml:space="preserve"> and depreciation </w:t>
      </w:r>
      <w:r>
        <w:rPr>
          <w:rFonts w:ascii="Times New Roman" w:hAnsi="Times New Roman" w:eastAsia="MS Mincho"/>
          <w:b w:val="0"/>
          <w:i/>
          <w:sz w:val="24"/>
        </w:rPr>
        <w:t>δ</w:t>
      </w:r>
      <w:r>
        <w:rPr>
          <w:rFonts w:ascii="Times New Roman" w:hAnsi="Times New Roman" w:eastAsia="MS Mincho"/>
          <w:b w:val="0"/>
          <w:i w:val="0"/>
          <w:sz w:val="24"/>
        </w:rPr>
        <w:t xml:space="preserve"> — are the natural next layer of refinement.</w:t>
      </w:r>
    </w:p>
    <w:p>
      <w:pPr>
        <w:spacing w:before="360" w:after="120" w:line="480" w:lineRule="auto"/>
      </w:pPr>
      <w:r>
        <w:rPr>
          <w:rFonts w:ascii="Times New Roman" w:hAnsi="Times New Roman" w:eastAsia="MS Mincho"/>
          <w:b/>
          <w:i w:val="0"/>
          <w:sz w:val="24"/>
        </w:rPr>
        <w:t>VI.4 Medical preview</w:t>
      </w:r>
    </w:p>
    <w:p>
      <w:pPr>
        <w:spacing w:after="120" w:line="480" w:lineRule="auto"/>
        <w:ind w:firstLine="480"/>
      </w:pPr>
      <w:r>
        <w:rPr>
          <w:rFonts w:ascii="Times New Roman" w:hAnsi="Times New Roman" w:eastAsia="MS Mincho"/>
          <w:b w:val="0"/>
          <w:i w:val="0"/>
          <w:sz w:val="24"/>
        </w:rPr>
        <w:t>The same machinery extends naturally to health expenditure, which is why we use the term "capital-accounting tempo effect" rather than "GDP tempo effect": 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 the share of health expenditure directed to prevention and R&amp;D rather than to curative care — explains an additional share of the United States-Japan life-expectancy gap. The substantive implication, consistent with the World Health Organization's Healthy Life Expectancy programme (Salomon et al., 2012) but not yet embedded in any official wealth account, is that a country with a low intangible-health share (predominantly curative, low prevention and research) will look more efficient in a naive per-capita expenditure comparison but less resilient in the stock sense. The broader point is that any stock-of-outcomes process whose timing structure drifts — the "healthy life years" stock, the human-capital stock, the stock of accumulated medical R&amp;D, and by extension the stock of climate adaptation capital — admits the same tempo-plus-forgotten-parameter correction developed here. Cross-walking the capital-accounting machinery to each of these domains is a programme, not a single paper; the present paper is the first stop on that programme.</w:t>
      </w:r>
    </w:p>
    <w:p>
      <w:pPr>
        <w:spacing w:before="360" w:after="120" w:line="480" w:lineRule="auto"/>
      </w:pPr>
      <w:r>
        <w:rPr>
          <w:rFonts w:ascii="Times New Roman" w:hAnsi="Times New Roman" w:eastAsia="MS Mincho"/>
          <w:b/>
          <w:i w:val="0"/>
          <w:sz w:val="24"/>
        </w:rPr>
        <w:t>VI.5 Limitations</w:t>
      </w:r>
    </w:p>
    <w:p>
      <w:pPr>
        <w:spacing w:after="120" w:line="480" w:lineRule="auto"/>
        <w:ind w:firstLine="480"/>
      </w:pPr>
      <w:r>
        <w:rPr>
          <w:rFonts w:ascii="Times New Roman" w:hAnsi="Times New Roman" w:eastAsia="MS Mincho"/>
          <w:b w:val="0"/>
          <w:i w:val="0"/>
          <w:sz w:val="24"/>
        </w:rPr>
        <w:t xml:space="preserve">Three caveats apply. First, our identification of </w:t>
      </w:r>
      <w:r>
        <w:rPr>
          <w:rFonts w:ascii="Times New Roman" w:hAnsi="Times New Roman" w:eastAsia="MS Mincho"/>
          <w:b w:val="0"/>
          <w:i/>
          <w:sz w:val="24"/>
        </w:rPr>
        <w:t>β</w:t>
      </w:r>
      <w:r>
        <w:rPr>
          <w:rFonts w:ascii="Times New Roman" w:hAnsi="Times New Roman" w:eastAsia="MS Mincho"/>
          <w:b w:val="0"/>
          <w:i w:val="0"/>
          <w:sz w:val="24"/>
        </w:rPr>
        <w:t xml:space="preserve">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(§V.4)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experiment (§V.3)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that is itself a derived estimate in PWT and is known to be imprecisely measured in transition economies (Inklaar and Timmer, 2013). If the true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(t). Disentangling these two drifts requires auxiliary data on capacity utilisation and asset retirements that is not uniformly available across the 39 countries in our sample.</w:t>
      </w:r>
    </w:p>
    <w:p>
      <w:pPr>
        <w:spacing w:before="360" w:after="120" w:line="480" w:lineRule="auto"/>
        <w:jc w:val="center"/>
      </w:pPr>
      <w:r>
        <w:rPr>
          <w:rFonts w:ascii="Times New Roman" w:hAnsi="Times New Roman" w:eastAsia="MS Mincho"/>
          <w:b/>
          <w:i w:val="0"/>
          <w:sz w:val="28"/>
        </w:rPr>
        <w:t>VII CONCLUSION</w:t>
      </w:r>
    </w:p>
    <w:p>
      <w:pPr>
        <w:spacing w:after="120" w:line="48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w:t>
      </w:r>
      <w:r>
        <w:rPr>
          <w:rFonts w:ascii="Times New Roman" w:hAnsi="Times New Roman" w:eastAsia="MS Mincho"/>
          <w:b w:val="0"/>
          <w:i/>
          <w:sz w:val="24"/>
        </w:rPr>
        <w:t>μ</w:t>
      </w:r>
      <w:r>
        <w:rPr>
          <w:rFonts w:ascii="Times New Roman" w:hAnsi="Times New Roman" w:eastAsia="MS Mincho"/>
          <w:b w:val="0"/>
          <w:i w:val="0"/>
          <w:sz w:val="24"/>
        </w:rPr>
        <w:t xml:space="preserve"> = 0, </w:t>
      </w:r>
      <w:r>
        <w:rPr>
          <w:rFonts w:ascii="Times New Roman" w:hAnsi="Times New Roman" w:eastAsia="MS Mincho"/>
          <w:b w:val="0"/>
          <w:i/>
          <w:sz w:val="24"/>
        </w:rPr>
        <w:t>β</w:t>
      </w:r>
      <w:r>
        <w:rPr>
          <w:rFonts w:ascii="Times New Roman" w:hAnsi="Times New Roman" w:eastAsia="MS Mincho"/>
          <w:b w:val="0"/>
          <w:i w:val="0"/>
          <w:sz w:val="24"/>
        </w:rPr>
        <w:t xml:space="preserve"> = 0) the accounting is silently biased, the Solow residual absorbs the error, and the flow and stock accounts drift apart. When they are jointly estimated against both production data (PWT) and wealth data (CWON), three things happen: the flow and stock accounts agree to within 1–2 % for most advanced economies; the out-of-sample accuracy of GDP level forecasts improves by 13 %; and up to 30 % of measured TFP-growth variance is re-attributed to tempo drift and missing intangibles rather than genuine innovation. The Beyond-GDP debate becomes a debate about which forgotten parameter matters next. Demography solved the same problem for population a quarter-century ago. Capital accounting can do the same now.</w:t>
      </w:r>
    </w:p>
    <w:p>
      <w:pPr>
        <w:spacing w:after="120" w:line="480" w:lineRule="auto"/>
        <w:ind w:firstLine="480"/>
      </w:pPr>
      <w:r>
        <w:rPr>
          <w:rFonts w:ascii="Times New Roman" w:hAnsi="Times New Roman" w:eastAsia="MS Mincho"/>
          <w:b w:val="0"/>
          <w:i w:val="0"/>
          <w:sz w:val="24"/>
        </w:rPr>
        <w:t>The scale of the empirical gains deserves a final word of calibration. A 13 % reduction in out-of-sample MAPE is, in levels, a reduction from 4.60 % to 3.99 %, which for a country with a USD 5 trillion GDP corresponds to closing a USD 30 billion annual forecast error. That is small in relative terms but large in absolute terms, and it is obtained without any new stochastic machinery, without any new data source beyond PWT and CWON, and without giving up the single-equation tractability that makes growth-accounting exercises teachable. Methodologically cheap, quantitatively material, and conceptually symmetric with a well-understood demographic precedent: those are the three qualities that in our view justify porting the quantum-tempo framework from population to capital.</w:t>
      </w:r>
    </w:p>
    <w:p>
      <w:pPr>
        <w:spacing w:after="120" w:line="480" w:lineRule="auto"/>
        <w:ind w:firstLine="480"/>
      </w:pPr>
      <w:r>
        <w:rPr>
          <w:rFonts w:ascii="Times New Roman" w:hAnsi="Times New Roman" w:eastAsia="MS Mincho"/>
          <w:b w:val="0"/>
          <w:i w:val="0"/>
          <w:sz w:val="24"/>
        </w:rPr>
        <w:t xml:space="preserve">Three practical recommendations follow from the results. First, any revision of national capital-stock estimates that treats </w:t>
      </w:r>
      <w:r>
        <w:rPr>
          <w:rFonts w:ascii="Times New Roman" w:hAnsi="Times New Roman" w:eastAsia="MS Mincho"/>
          <w:b w:val="0"/>
          <w:i/>
          <w:sz w:val="24"/>
        </w:rPr>
        <w:t>μ</w:t>
      </w:r>
      <w:r>
        <w:rPr>
          <w:rFonts w:ascii="Times New Roman" w:hAnsi="Times New Roman" w:eastAsia="MS Mincho"/>
          <w:b w:val="0"/>
          <w:i w:val="0"/>
          <w:sz w:val="24"/>
        </w:rPr>
        <w:t xml:space="preserve"> as time-invariant should be treated as provisional; the cost of re-estimating </w:t>
      </w:r>
      <w:r>
        <w:rPr>
          <w:rFonts w:ascii="Times New Roman" w:hAnsi="Times New Roman" w:eastAsia="MS Mincho"/>
          <w:b w:val="0"/>
          <w:i/>
          <w:sz w:val="24"/>
        </w:rPr>
        <w:t>μ</w:t>
      </w:r>
      <w:r>
        <w:rPr>
          <w:rFonts w:ascii="Times New Roman" w:hAnsi="Times New Roman" w:eastAsia="MS Mincho"/>
          <w:b w:val="0"/>
          <w:i w:val="0"/>
          <w:sz w:val="24"/>
        </w:rPr>
        <w:t>(t) is modest and the benefit in out-of-sample fit is comparable to adding a full suite of stochastic shocks to the production function. Second, the CWON and IWI programmes should consider publishing, alongside the point estimates, a set of joint-identified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480" w:lineRule="auto"/>
        <w:jc w:val="center"/>
      </w:pPr>
      <w:r>
        <w:rPr>
          <w:rFonts w:ascii="Times New Roman" w:hAnsi="Times New Roman" w:eastAsia="MS Mincho"/>
          <w:b/>
          <w:i w:val="0"/>
          <w:sz w:val="28"/>
        </w:rPr>
        <w:t>TABLES</w:t>
      </w:r>
    </w:p>
    <w:p>
      <w:pPr>
        <w:spacing w:after="120" w:line="480" w:lineRule="auto"/>
        <w:ind w:firstLine="480"/>
      </w:pPr>
      <w:r>
        <w:rPr>
          <w:rFonts w:ascii="Times New Roman" w:hAnsi="Times New Roman" w:eastAsia="MS Mincho"/>
          <w:b/>
          <w:i w:val="0"/>
          <w:sz w:val="24"/>
        </w:rPr>
        <w:t>Table 1.</w:t>
      </w:r>
      <w:r>
        <w:rPr>
          <w:rFonts w:ascii="Times New Roman" w:hAnsi="Times New Roman" w:eastAsia="MS Mincho"/>
          <w:b w:val="0"/>
          <w:i w:val="0"/>
          <w:sz w:val="24"/>
        </w:rPr>
        <w:t xml:space="preserve"> M0–M4: In-sample and out-of-sample performance across 39 countries.</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i w:val="0"/>
          <w:sz w:val="24"/>
        </w:rPr>
        <w:t>Table 2.</w:t>
      </w:r>
      <w:r>
        <w:rPr>
          <w:rFonts w:ascii="Times New Roman" w:hAnsi="Times New Roman" w:eastAsia="MS Mincho"/>
          <w:b w:val="0"/>
          <w:i w:val="0"/>
          <w:sz w:val="24"/>
        </w:rPr>
        <w:t xml:space="preserve"> Population–capital correspondence.</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i w:val="0"/>
          <w:sz w:val="24"/>
        </w:rPr>
        <w:t>Table 3.</w:t>
      </w:r>
      <w:r>
        <w:rPr>
          <w:rFonts w:ascii="Times New Roman" w:hAnsi="Times New Roman" w:eastAsia="MS Mincho"/>
          <w:b w:val="0"/>
          <w:i w:val="0"/>
          <w:sz w:val="24"/>
        </w:rPr>
        <w:t xml:space="preserve"> Relational PIM diagnostics: </w:t>
      </w:r>
      <w:r>
        <w:rPr>
          <w:rFonts w:ascii="Times New Roman" w:hAnsi="Times New Roman" w:eastAsia="MS Mincho"/>
          <w:b w:val="0"/>
          <w:i/>
          <w:sz w:val="24"/>
        </w:rPr>
        <w:t>ρ</w:t>
      </w:r>
      <w:r>
        <w:rPr>
          <w:rFonts w:ascii="Times New Roman" w:hAnsi="Times New Roman" w:eastAsia="MS Mincho"/>
          <w:b w:val="0"/>
          <w:i w:val="0"/>
          <w:sz w:val="24"/>
        </w:rPr>
        <w:t>̂₂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i w:val="0"/>
          <w:sz w:val="24"/>
        </w:rPr>
        <w:t>Table 4.</w:t>
      </w:r>
      <w:r>
        <w:rPr>
          <w:rFonts w:ascii="Times New Roman" w:hAnsi="Times New Roman" w:eastAsia="MS Mincho"/>
          <w:b w:val="0"/>
          <w:i w:val="0"/>
          <w:sz w:val="24"/>
        </w:rPr>
        <w:t xml:space="preserve">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i w:val="0"/>
          <w:sz w:val="24"/>
        </w:rPr>
        <w:t>Table 5.</w:t>
      </w:r>
      <w:r>
        <w:rPr>
          <w:rFonts w:ascii="Times New Roman" w:hAnsi="Times New Roman" w:eastAsia="MS Mincho"/>
          <w:b w:val="0"/>
          <w:i w:val="0"/>
          <w:sz w:val="24"/>
        </w:rPr>
        <w:t xml:space="preserve"> Tempo-artifact share of TFP-growth variance by country: the percentage reduction in Var(</w:t>
      </w:r>
      <w:r>
        <w:rPr>
          <w:rFonts w:ascii="Times New Roman" w:hAnsi="Times New Roman" w:eastAsia="MS Mincho"/>
          <w:b w:val="0"/>
          <w:i/>
          <w:sz w:val="24"/>
        </w:rPr>
        <w:t>Δ</w:t>
      </w:r>
      <w:r>
        <w:rPr>
          <w:rFonts w:ascii="Times New Roman" w:hAnsi="Times New Roman" w:eastAsia="MS Mincho"/>
          <w:b w:val="0"/>
          <w:i w:val="0"/>
          <w:sz w:val="24"/>
        </w:rPr>
        <w:t xml:space="preserve"> log TFP) when moving from M0 to M2 (tempo drift only) and from M0 to M4 (joint tempo + intangible).</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480" w:lineRule="auto"/>
        <w:jc w:val="center"/>
      </w:pPr>
      <w:r>
        <w:rPr>
          <w:rFonts w:ascii="Times New Roman" w:hAnsi="Times New Roman" w:eastAsia="MS Mincho"/>
          <w:b/>
          <w:i w:val="0"/>
          <w:sz w:val="28"/>
        </w:rPr>
        <w:t>REFERENCES</w:t>
      </w:r>
    </w:p>
    <w:p>
      <w:pPr>
        <w:spacing w:after="120" w:line="480" w:lineRule="auto"/>
        <w:ind w:firstLine="480"/>
      </w:pPr>
      <w:r>
        <w:rPr>
          <w:rFonts w:ascii="Times New Roman" w:hAnsi="Times New Roman" w:eastAsia="MS Mincho"/>
          <w:b w:val="0"/>
          <w:i w:val="0"/>
          <w:sz w:val="24"/>
        </w:rPr>
        <w:t xml:space="preserve">ALTUG, S. (1989). Time-to-build and aggregate fluctuations: some new evidence. </w:t>
      </w:r>
      <w:r>
        <w:rPr>
          <w:rFonts w:ascii="Times New Roman" w:hAnsi="Times New Roman" w:eastAsia="MS Mincho"/>
          <w:b w:val="0"/>
          <w:i/>
          <w:sz w:val="24"/>
        </w:rPr>
        <w:t>International Economic Review</w:t>
      </w:r>
      <w:r>
        <w:rPr>
          <w:rFonts w:ascii="Times New Roman" w:hAnsi="Times New Roman" w:eastAsia="MS Mincho"/>
          <w:b w:val="0"/>
          <w:i w:val="0"/>
          <w:sz w:val="24"/>
        </w:rPr>
        <w:t xml:space="preserve"> 30, 889–920.</w:t>
      </w:r>
    </w:p>
    <w:p>
      <w:pPr>
        <w:spacing w:after="120" w:line="480" w:lineRule="auto"/>
        <w:ind w:firstLine="480"/>
      </w:pPr>
      <w:r>
        <w:rPr>
          <w:rFonts w:ascii="Times New Roman" w:hAnsi="Times New Roman" w:eastAsia="MS Mincho"/>
          <w:b w:val="0"/>
          <w:i w:val="0"/>
          <w:sz w:val="24"/>
        </w:rPr>
        <w:t xml:space="preserve">ARROW, K.J., DASGUPTA, P., GOULDER, L.H., MUMFORD, K.J. and OLESON, K. (2012). Sustainability and the measurement of wealth. </w:t>
      </w:r>
      <w:r>
        <w:rPr>
          <w:rFonts w:ascii="Times New Roman" w:hAnsi="Times New Roman" w:eastAsia="MS Mincho"/>
          <w:b w:val="0"/>
          <w:i/>
          <w:sz w:val="24"/>
        </w:rPr>
        <w:t>Environment and Development Economics</w:t>
      </w:r>
      <w:r>
        <w:rPr>
          <w:rFonts w:ascii="Times New Roman" w:hAnsi="Times New Roman" w:eastAsia="MS Mincho"/>
          <w:b w:val="0"/>
          <w:i w:val="0"/>
          <w:sz w:val="24"/>
        </w:rPr>
        <w:t xml:space="preserve"> 17, 317–353.</w:t>
      </w:r>
    </w:p>
    <w:p>
      <w:pPr>
        <w:spacing w:after="120" w:line="480" w:lineRule="auto"/>
        <w:ind w:firstLine="480"/>
      </w:pPr>
      <w:r>
        <w:rPr>
          <w:rFonts w:ascii="Times New Roman" w:hAnsi="Times New Roman" w:eastAsia="MS Mincho"/>
          <w:b w:val="0"/>
          <w:i w:val="0"/>
          <w:sz w:val="24"/>
        </w:rPr>
        <w:t xml:space="preserve">BONGAARTS, J. and FEENEY, G. (1998). On the quantum and tempo of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24, 271–291.</w:t>
      </w:r>
    </w:p>
    <w:p>
      <w:pPr>
        <w:spacing w:after="120" w:line="480" w:lineRule="auto"/>
        <w:ind w:firstLine="480"/>
      </w:pPr>
      <w:r>
        <w:rPr>
          <w:rFonts w:ascii="Times New Roman" w:hAnsi="Times New Roman" w:eastAsia="MS Mincho"/>
          <w:b w:val="0"/>
          <w:i w:val="0"/>
          <w:sz w:val="24"/>
        </w:rPr>
        <w:t xml:space="preserve">BONGAARTS, J. and SOBOTKA, T. (2012). A demographic explanation for the recent rise in European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38, 83–120.</w:t>
      </w:r>
    </w:p>
    <w:p>
      <w:pPr>
        <w:spacing w:after="120" w:line="480" w:lineRule="auto"/>
        <w:ind w:firstLine="480"/>
      </w:pPr>
      <w:r>
        <w:rPr>
          <w:rFonts w:ascii="Times New Roman" w:hAnsi="Times New Roman" w:eastAsia="MS Mincho"/>
          <w:b w:val="0"/>
          <w:i w:val="0"/>
          <w:sz w:val="24"/>
        </w:rPr>
        <w:t xml:space="preserve">BRASS, W. (1971). On the scale of mortality. In William Brass (ed.), </w:t>
      </w:r>
      <w:r>
        <w:rPr>
          <w:rFonts w:ascii="Times New Roman" w:hAnsi="Times New Roman" w:eastAsia="MS Mincho"/>
          <w:b w:val="0"/>
          <w:i/>
          <w:sz w:val="24"/>
        </w:rPr>
        <w:t>Biological Aspects of Demography</w:t>
      </w:r>
      <w:r>
        <w:rPr>
          <w:rFonts w:ascii="Times New Roman" w:hAnsi="Times New Roman" w:eastAsia="MS Mincho"/>
          <w:b w:val="0"/>
          <w:i w:val="0"/>
          <w:sz w:val="24"/>
        </w:rPr>
        <w:t>, pp. 69–110. London: Taylor and Francis.</w:t>
      </w:r>
    </w:p>
    <w:p>
      <w:pPr>
        <w:spacing w:after="120" w:line="480" w:lineRule="auto"/>
        <w:ind w:firstLine="480"/>
      </w:pPr>
      <w:r>
        <w:rPr>
          <w:rFonts w:ascii="Times New Roman" w:hAnsi="Times New Roman" w:eastAsia="MS Mincho"/>
          <w:b w:val="0"/>
          <w:i w:val="0"/>
          <w:sz w:val="24"/>
        </w:rPr>
        <w:t xml:space="preserve">CHRISTIANO, L.J. and TODD, R.M. (1996). Time to plan and aggregate fluctuations. </w:t>
      </w:r>
      <w:r>
        <w:rPr>
          <w:rFonts w:ascii="Times New Roman" w:hAnsi="Times New Roman" w:eastAsia="MS Mincho"/>
          <w:b w:val="0"/>
          <w:i/>
          <w:sz w:val="24"/>
        </w:rPr>
        <w:t>Federal Reserve Bank of Minneapolis Quarterly Review</w:t>
      </w:r>
      <w:r>
        <w:rPr>
          <w:rFonts w:ascii="Times New Roman" w:hAnsi="Times New Roman" w:eastAsia="MS Mincho"/>
          <w:b w:val="0"/>
          <w:i w:val="0"/>
          <w:sz w:val="24"/>
        </w:rPr>
        <w:t xml:space="preserve"> 20, 14–27.</w:t>
      </w:r>
    </w:p>
    <w:p>
      <w:pPr>
        <w:spacing w:after="120" w:line="480" w:lineRule="auto"/>
        <w:ind w:firstLine="480"/>
      </w:pPr>
      <w:r>
        <w:rPr>
          <w:rFonts w:ascii="Times New Roman" w:hAnsi="Times New Roman" w:eastAsia="MS Mincho"/>
          <w:b w:val="0"/>
          <w:i w:val="0"/>
          <w:sz w:val="24"/>
        </w:rPr>
        <w:t xml:space="preserve">CORRADO, C., HULTEN, C. and SICHEL, D. (2005). Measuring capital and technology: an expanded framework. In Carol Corrado, John Haltiwanger, and Daniel Sichel (eds.), </w:t>
      </w:r>
      <w:r>
        <w:rPr>
          <w:rFonts w:ascii="Times New Roman" w:hAnsi="Times New Roman" w:eastAsia="MS Mincho"/>
          <w:b w:val="0"/>
          <w:i/>
          <w:sz w:val="24"/>
        </w:rPr>
        <w:t>Measuring Capital in the New Economy</w:t>
      </w:r>
      <w:r>
        <w:rPr>
          <w:rFonts w:ascii="Times New Roman" w:hAnsi="Times New Roman" w:eastAsia="MS Mincho"/>
          <w:b w:val="0"/>
          <w:i w:val="0"/>
          <w:sz w:val="24"/>
        </w:rPr>
        <w:t>, pp. 11–46. Chicago: University of Chicago Press.</w:t>
      </w:r>
    </w:p>
    <w:p>
      <w:pPr>
        <w:spacing w:after="120" w:line="480" w:lineRule="auto"/>
        <w:ind w:firstLine="480"/>
      </w:pPr>
      <w:r>
        <w:rPr>
          <w:rFonts w:ascii="Times New Roman" w:hAnsi="Times New Roman" w:eastAsia="MS Mincho"/>
          <w:b w:val="0"/>
          <w:i w:val="0"/>
          <w:sz w:val="24"/>
        </w:rPr>
        <w:t xml:space="preserve">CORRADO, C., HULTEN, C. and SICHEL, D. (2009). Intangible capital and US economic growth. </w:t>
      </w:r>
      <w:r>
        <w:rPr>
          <w:rFonts w:ascii="Times New Roman" w:hAnsi="Times New Roman" w:eastAsia="MS Mincho"/>
          <w:b w:val="0"/>
          <w:i/>
          <w:sz w:val="24"/>
        </w:rPr>
        <w:t>Review of Income and Wealth</w:t>
      </w:r>
      <w:r>
        <w:rPr>
          <w:rFonts w:ascii="Times New Roman" w:hAnsi="Times New Roman" w:eastAsia="MS Mincho"/>
          <w:b w:val="0"/>
          <w:i w:val="0"/>
          <w:sz w:val="24"/>
        </w:rPr>
        <w:t xml:space="preserve"> 55, 661–685.</w:t>
      </w:r>
    </w:p>
    <w:p>
      <w:pPr>
        <w:spacing w:after="120" w:line="480" w:lineRule="auto"/>
        <w:ind w:firstLine="480"/>
      </w:pPr>
      <w:r>
        <w:rPr>
          <w:rFonts w:ascii="Times New Roman" w:hAnsi="Times New Roman" w:eastAsia="MS Mincho"/>
          <w:b w:val="0"/>
          <w:i w:val="0"/>
          <w:sz w:val="24"/>
        </w:rPr>
        <w:t>CORRADO, C., HASKEL, J., JONA-LASINIO, C. and IOMMI, M.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 xml:space="preserve">CORRADO, C., HASKEL, J., IOMMI, M. and JONA-LASINIO, C. (2020). Intangible capital, innovation and productivity à la Jorgenson: evidence from Europe and the US. In Barbara M. Fraumeni (ed.), </w:t>
      </w:r>
      <w:r>
        <w:rPr>
          <w:rFonts w:ascii="Times New Roman" w:hAnsi="Times New Roman" w:eastAsia="MS Mincho"/>
          <w:b w:val="0"/>
          <w:i/>
          <w:sz w:val="24"/>
        </w:rPr>
        <w:t>Measuring Economic Growth and Productivity</w:t>
      </w:r>
      <w:r>
        <w:rPr>
          <w:rFonts w:ascii="Times New Roman" w:hAnsi="Times New Roman" w:eastAsia="MS Mincho"/>
          <w:b w:val="0"/>
          <w:i w:val="0"/>
          <w:sz w:val="24"/>
        </w:rPr>
        <w:t>, pp. 363–385. Academic Press.</w:t>
      </w:r>
    </w:p>
    <w:p>
      <w:pPr>
        <w:spacing w:after="120" w:line="480" w:lineRule="auto"/>
        <w:ind w:firstLine="480"/>
      </w:pPr>
      <w:r>
        <w:rPr>
          <w:rFonts w:ascii="Times New Roman" w:hAnsi="Times New Roman" w:eastAsia="MS Mincho"/>
          <w:b w:val="0"/>
          <w:i w:val="0"/>
          <w:sz w:val="24"/>
        </w:rPr>
        <w:t xml:space="preserve">DASGUPTA, P. (2021). </w:t>
      </w:r>
      <w:r>
        <w:rPr>
          <w:rFonts w:ascii="Times New Roman" w:hAnsi="Times New Roman" w:eastAsia="MS Mincho"/>
          <w:b w:val="0"/>
          <w:i/>
          <w:sz w:val="24"/>
        </w:rPr>
        <w:t>The Economics of Biodiversity: The Dasgupta Review</w:t>
      </w:r>
      <w:r>
        <w:rPr>
          <w:rFonts w:ascii="Times New Roman" w:hAnsi="Times New Roman" w:eastAsia="MS Mincho"/>
          <w:b w:val="0"/>
          <w:i w:val="0"/>
          <w:sz w:val="24"/>
        </w:rPr>
        <w:t>. London: HM Treasury.</w:t>
      </w:r>
    </w:p>
    <w:p>
      <w:pPr>
        <w:spacing w:after="120" w:line="480" w:lineRule="auto"/>
        <w:ind w:firstLine="480"/>
      </w:pPr>
      <w:r>
        <w:rPr>
          <w:rFonts w:ascii="Times New Roman" w:hAnsi="Times New Roman" w:eastAsia="MS Mincho"/>
          <w:b w:val="0"/>
          <w:i w:val="0"/>
          <w:sz w:val="24"/>
        </w:rPr>
        <w:t xml:space="preserve">DE RASSENFOSSE, G. and JAFFE, A.B. (2018). Intellectual property and public-science spillovers: an overview and research directions. </w:t>
      </w:r>
      <w:r>
        <w:rPr>
          <w:rFonts w:ascii="Times New Roman" w:hAnsi="Times New Roman" w:eastAsia="MS Mincho"/>
          <w:b w:val="0"/>
          <w:i/>
          <w:sz w:val="24"/>
        </w:rPr>
        <w:t>Review of Economic Research on Copyright Issues</w:t>
      </w:r>
      <w:r>
        <w:rPr>
          <w:rFonts w:ascii="Times New Roman" w:hAnsi="Times New Roman" w:eastAsia="MS Mincho"/>
          <w:b w:val="0"/>
          <w:i w:val="0"/>
          <w:sz w:val="24"/>
        </w:rPr>
        <w:t xml:space="preserve"> 15, 1–22.</w:t>
      </w:r>
    </w:p>
    <w:p>
      <w:pPr>
        <w:spacing w:after="120" w:line="480" w:lineRule="auto"/>
        <w:ind w:firstLine="480"/>
      </w:pPr>
      <w:r>
        <w:rPr>
          <w:rFonts w:ascii="Times New Roman" w:hAnsi="Times New Roman" w:eastAsia="MS Mincho"/>
          <w:b w:val="0"/>
          <w:i w:val="0"/>
          <w:sz w:val="24"/>
        </w:rPr>
        <w:t xml:space="preserve">EDGE, R.M. (2007). Time-to-build, time-to-plan, habit-persistence, and the liquidity effect. </w:t>
      </w:r>
      <w:r>
        <w:rPr>
          <w:rFonts w:ascii="Times New Roman" w:hAnsi="Times New Roman" w:eastAsia="MS Mincho"/>
          <w:b w:val="0"/>
          <w:i/>
          <w:sz w:val="24"/>
        </w:rPr>
        <w:t>Journal of Monetary Economics</w:t>
      </w:r>
      <w:r>
        <w:rPr>
          <w:rFonts w:ascii="Times New Roman" w:hAnsi="Times New Roman" w:eastAsia="MS Mincho"/>
          <w:b w:val="0"/>
          <w:i w:val="0"/>
          <w:sz w:val="24"/>
        </w:rPr>
        <w:t xml:space="preserve"> 54, 1644–1669.</w:t>
      </w:r>
    </w:p>
    <w:p>
      <w:pPr>
        <w:spacing w:after="120" w:line="480" w:lineRule="auto"/>
        <w:ind w:firstLine="480"/>
      </w:pPr>
      <w:r>
        <w:rPr>
          <w:rFonts w:ascii="Times New Roman" w:hAnsi="Times New Roman" w:eastAsia="MS Mincho"/>
          <w:b w:val="0"/>
          <w:i w:val="0"/>
          <w:sz w:val="24"/>
        </w:rPr>
        <w:t xml:space="preserve">FEENSTRA, R.C., INKLAAR, R. and TIMMER, M.P. (2015). The next generation of the Penn World Table. </w:t>
      </w:r>
      <w:r>
        <w:rPr>
          <w:rFonts w:ascii="Times New Roman" w:hAnsi="Times New Roman" w:eastAsia="MS Mincho"/>
          <w:b w:val="0"/>
          <w:i/>
          <w:sz w:val="24"/>
        </w:rPr>
        <w:t>American Economic Review</w:t>
      </w:r>
      <w:r>
        <w:rPr>
          <w:rFonts w:ascii="Times New Roman" w:hAnsi="Times New Roman" w:eastAsia="MS Mincho"/>
          <w:b w:val="0"/>
          <w:i w:val="0"/>
          <w:sz w:val="24"/>
        </w:rPr>
        <w:t xml:space="preserve"> 105, 3150–3182.</w:t>
      </w:r>
    </w:p>
    <w:p>
      <w:pPr>
        <w:spacing w:after="120" w:line="480" w:lineRule="auto"/>
        <w:ind w:firstLine="480"/>
      </w:pPr>
      <w:r>
        <w:rPr>
          <w:rFonts w:ascii="Times New Roman" w:hAnsi="Times New Roman" w:eastAsia="MS Mincho"/>
          <w:b w:val="0"/>
          <w:i w:val="0"/>
          <w:sz w:val="24"/>
        </w:rPr>
        <w:t xml:space="preserve">GOLDSTEIN, J.R., LUTZ, W. and SCHERBOV, S. (2003). Long-term population decline in Europe: the relative importance of tempo effects and generational length.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29, 699–707.</w:t>
      </w:r>
    </w:p>
    <w:p>
      <w:pPr>
        <w:spacing w:after="120" w:line="480" w:lineRule="auto"/>
        <w:ind w:firstLine="480"/>
      </w:pPr>
      <w:r>
        <w:rPr>
          <w:rFonts w:ascii="Times New Roman" w:hAnsi="Times New Roman" w:eastAsia="MS Mincho"/>
          <w:b w:val="0"/>
          <w:i w:val="0"/>
          <w:sz w:val="24"/>
        </w:rPr>
        <w:t xml:space="preserve">GRILICHES, Z. (1996). The discovery of the residual: a historical note.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34, 1324–1330.</w:t>
      </w:r>
    </w:p>
    <w:p>
      <w:pPr>
        <w:spacing w:after="120" w:line="480" w:lineRule="auto"/>
        <w:ind w:firstLine="480"/>
      </w:pPr>
      <w:r>
        <w:rPr>
          <w:rFonts w:ascii="Times New Roman" w:hAnsi="Times New Roman" w:eastAsia="MS Mincho"/>
          <w:b w:val="0"/>
          <w:i w:val="0"/>
          <w:sz w:val="24"/>
        </w:rPr>
        <w:t xml:space="preserve">HAMANO, M. and ZHAO, Y. (2017). Fiscal sustainability and land prices in Japan. </w:t>
      </w:r>
      <w:r>
        <w:rPr>
          <w:rFonts w:ascii="Times New Roman" w:hAnsi="Times New Roman" w:eastAsia="MS Mincho"/>
          <w:b w:val="0"/>
          <w:i/>
          <w:sz w:val="24"/>
        </w:rPr>
        <w:t>Journal of the Japanese and International Economies</w:t>
      </w:r>
      <w:r>
        <w:rPr>
          <w:rFonts w:ascii="Times New Roman" w:hAnsi="Times New Roman" w:eastAsia="MS Mincho"/>
          <w:b w:val="0"/>
          <w:i w:val="0"/>
          <w:sz w:val="24"/>
        </w:rPr>
        <w:t xml:space="preserve"> 46, 17–29.</w:t>
      </w:r>
    </w:p>
    <w:p>
      <w:pPr>
        <w:spacing w:after="120" w:line="480" w:lineRule="auto"/>
        <w:ind w:firstLine="480"/>
      </w:pPr>
      <w:r>
        <w:rPr>
          <w:rFonts w:ascii="Times New Roman" w:hAnsi="Times New Roman" w:eastAsia="MS Mincho"/>
          <w:b w:val="0"/>
          <w:i w:val="0"/>
          <w:sz w:val="24"/>
        </w:rPr>
        <w:t xml:space="preserve">HASKEL, J. and WESTLAKE, S. (2017). </w:t>
      </w:r>
      <w:r>
        <w:rPr>
          <w:rFonts w:ascii="Times New Roman" w:hAnsi="Times New Roman" w:eastAsia="MS Mincho"/>
          <w:b w:val="0"/>
          <w:i/>
          <w:sz w:val="24"/>
        </w:rPr>
        <w:t>Capitalism without Capital: The Rise of the Intangible Economy</w:t>
      </w:r>
      <w:r>
        <w:rPr>
          <w:rFonts w:ascii="Times New Roman" w:hAnsi="Times New Roman" w:eastAsia="MS Mincho"/>
          <w:b w:val="0"/>
          <w:i w:val="0"/>
          <w:sz w:val="24"/>
        </w:rPr>
        <w:t>. Princeton: Princeton University Press.</w:t>
      </w:r>
    </w:p>
    <w:p>
      <w:pPr>
        <w:spacing w:after="120" w:line="480" w:lineRule="auto"/>
        <w:ind w:firstLine="480"/>
      </w:pPr>
      <w:r>
        <w:rPr>
          <w:rFonts w:ascii="Times New Roman" w:hAnsi="Times New Roman" w:eastAsia="MS Mincho"/>
          <w:b w:val="0"/>
          <w:i w:val="0"/>
          <w:sz w:val="24"/>
        </w:rPr>
        <w:t xml:space="preserve">HASKEL, J. and WESTLAKE, S. (2022). </w:t>
      </w:r>
      <w:r>
        <w:rPr>
          <w:rFonts w:ascii="Times New Roman" w:hAnsi="Times New Roman" w:eastAsia="MS Mincho"/>
          <w:b w:val="0"/>
          <w:i/>
          <w:sz w:val="24"/>
        </w:rPr>
        <w:t>Restarting the Future: How to Fix the Intangible Economy</w:t>
      </w:r>
      <w:r>
        <w:rPr>
          <w:rFonts w:ascii="Times New Roman" w:hAnsi="Times New Roman" w:eastAsia="MS Mincho"/>
          <w:b w:val="0"/>
          <w:i w:val="0"/>
          <w:sz w:val="24"/>
        </w:rPr>
        <w:t>. Princeton: Princeton University Press.</w:t>
      </w:r>
    </w:p>
    <w:p>
      <w:pPr>
        <w:spacing w:after="120" w:line="480" w:lineRule="auto"/>
        <w:ind w:firstLine="480"/>
      </w:pPr>
      <w:r>
        <w:rPr>
          <w:rFonts w:ascii="Times New Roman" w:hAnsi="Times New Roman" w:eastAsia="MS Mincho"/>
          <w:b w:val="0"/>
          <w:i w:val="0"/>
          <w:sz w:val="24"/>
        </w:rPr>
        <w:t xml:space="preserve">HULTEN, C.R. (1992). Growth accounting when technical change is embodied in capital. </w:t>
      </w:r>
      <w:r>
        <w:rPr>
          <w:rFonts w:ascii="Times New Roman" w:hAnsi="Times New Roman" w:eastAsia="MS Mincho"/>
          <w:b w:val="0"/>
          <w:i/>
          <w:sz w:val="24"/>
        </w:rPr>
        <w:t>American Economic Review</w:t>
      </w:r>
      <w:r>
        <w:rPr>
          <w:rFonts w:ascii="Times New Roman" w:hAnsi="Times New Roman" w:eastAsia="MS Mincho"/>
          <w:b w:val="0"/>
          <w:i w:val="0"/>
          <w:sz w:val="24"/>
        </w:rPr>
        <w:t xml:space="preserve"> 82, 964–980.</w:t>
      </w:r>
    </w:p>
    <w:p>
      <w:pPr>
        <w:spacing w:after="120" w:line="480" w:lineRule="auto"/>
        <w:ind w:firstLine="480"/>
      </w:pPr>
      <w:r>
        <w:rPr>
          <w:rFonts w:ascii="Times New Roman" w:hAnsi="Times New Roman" w:eastAsia="MS Mincho"/>
          <w:b w:val="0"/>
          <w:i w:val="0"/>
          <w:sz w:val="24"/>
        </w:rPr>
        <w:t>INKLAAR, R. and TIMMER, M.P.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 xml:space="preserve">JORGENSON, D.W. and GRILICHES, Z. (1967). The explanation of productivity change. </w:t>
      </w:r>
      <w:r>
        <w:rPr>
          <w:rFonts w:ascii="Times New Roman" w:hAnsi="Times New Roman" w:eastAsia="MS Mincho"/>
          <w:b w:val="0"/>
          <w:i/>
          <w:sz w:val="24"/>
        </w:rPr>
        <w:t>Review of Economic Studies</w:t>
      </w:r>
      <w:r>
        <w:rPr>
          <w:rFonts w:ascii="Times New Roman" w:hAnsi="Times New Roman" w:eastAsia="MS Mincho"/>
          <w:b w:val="0"/>
          <w:i w:val="0"/>
          <w:sz w:val="24"/>
        </w:rPr>
        <w:t xml:space="preserve"> 34, 249–283.</w:t>
      </w:r>
    </w:p>
    <w:p>
      <w:pPr>
        <w:spacing w:after="120" w:line="480" w:lineRule="auto"/>
        <w:ind w:firstLine="480"/>
      </w:pPr>
      <w:r>
        <w:rPr>
          <w:rFonts w:ascii="Times New Roman" w:hAnsi="Times New Roman" w:eastAsia="MS Mincho"/>
          <w:b w:val="0"/>
          <w:i w:val="0"/>
          <w:sz w:val="24"/>
        </w:rPr>
        <w:t xml:space="preserve">JORGENSON, D.W. (2018). Production and welfare: progress in economic measurement.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56, 867–919.</w:t>
      </w:r>
    </w:p>
    <w:p>
      <w:pPr>
        <w:spacing w:after="120" w:line="480" w:lineRule="auto"/>
        <w:ind w:firstLine="480"/>
      </w:pPr>
      <w:r>
        <w:rPr>
          <w:rFonts w:ascii="Times New Roman" w:hAnsi="Times New Roman" w:eastAsia="MS Mincho"/>
          <w:b w:val="0"/>
          <w:i w:val="0"/>
          <w:sz w:val="24"/>
        </w:rPr>
        <w:t xml:space="preserve">JORGENSON, D.W., HO, M.S. and STIROH, K.J. (2018). </w:t>
      </w:r>
      <w:r>
        <w:rPr>
          <w:rFonts w:ascii="Times New Roman" w:hAnsi="Times New Roman" w:eastAsia="MS Mincho"/>
          <w:b w:val="0"/>
          <w:i/>
          <w:sz w:val="24"/>
        </w:rPr>
        <w:t>Productivity, Vol. 3: Information Technology and the American Growth Resurgence</w:t>
      </w:r>
      <w:r>
        <w:rPr>
          <w:rFonts w:ascii="Times New Roman" w:hAnsi="Times New Roman" w:eastAsia="MS Mincho"/>
          <w:b w:val="0"/>
          <w:i w:val="0"/>
          <w:sz w:val="24"/>
        </w:rPr>
        <w:t>. Cambridge, MA: MIT Press.</w:t>
      </w:r>
    </w:p>
    <w:p>
      <w:pPr>
        <w:spacing w:after="120" w:line="480" w:lineRule="auto"/>
        <w:ind w:firstLine="480"/>
      </w:pPr>
      <w:r>
        <w:rPr>
          <w:rFonts w:ascii="Times New Roman" w:hAnsi="Times New Roman" w:eastAsia="MS Mincho"/>
          <w:b w:val="0"/>
          <w:i w:val="0"/>
          <w:sz w:val="24"/>
        </w:rPr>
        <w:t xml:space="preserve">KABOSKI, J.P. (2005). Factor price uncertainty, technology choice and investment delay. </w:t>
      </w:r>
      <w:r>
        <w:rPr>
          <w:rFonts w:ascii="Times New Roman" w:hAnsi="Times New Roman" w:eastAsia="MS Mincho"/>
          <w:b w:val="0"/>
          <w:i/>
          <w:sz w:val="24"/>
        </w:rPr>
        <w:t>Journal of Economic Dynamics and Control</w:t>
      </w:r>
      <w:r>
        <w:rPr>
          <w:rFonts w:ascii="Times New Roman" w:hAnsi="Times New Roman" w:eastAsia="MS Mincho"/>
          <w:b w:val="0"/>
          <w:i w:val="0"/>
          <w:sz w:val="24"/>
        </w:rPr>
        <w:t xml:space="preserve"> 29, 509–527.</w:t>
      </w:r>
    </w:p>
    <w:p>
      <w:pPr>
        <w:spacing w:after="120" w:line="480" w:lineRule="auto"/>
        <w:ind w:firstLine="480"/>
      </w:pPr>
      <w:r>
        <w:rPr>
          <w:rFonts w:ascii="Times New Roman" w:hAnsi="Times New Roman" w:eastAsia="MS Mincho"/>
          <w:b w:val="0"/>
          <w:i w:val="0"/>
          <w:sz w:val="24"/>
        </w:rPr>
        <w:t>KOEVA, P. (2000). The facts about time-to-build. IMF Working Paper 00/138.</w:t>
      </w:r>
    </w:p>
    <w:p>
      <w:pPr>
        <w:spacing w:after="120" w:line="480" w:lineRule="auto"/>
        <w:ind w:firstLine="480"/>
      </w:pPr>
      <w:r>
        <w:rPr>
          <w:rFonts w:ascii="Times New Roman" w:hAnsi="Times New Roman" w:eastAsia="MS Mincho"/>
          <w:b w:val="0"/>
          <w:i w:val="0"/>
          <w:sz w:val="24"/>
        </w:rPr>
        <w:t xml:space="preserve">KOHLER, H.-P., BILLARI, F.C. and ORTEGA, J.A. (2002). The emergence of lowest-low fertility in Europe during the 1990s.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28, 641–680.</w:t>
      </w:r>
    </w:p>
    <w:p>
      <w:pPr>
        <w:spacing w:after="120" w:line="480" w:lineRule="auto"/>
        <w:ind w:firstLine="480"/>
      </w:pPr>
      <w:r>
        <w:rPr>
          <w:rFonts w:ascii="Times New Roman" w:hAnsi="Times New Roman" w:eastAsia="MS Mincho"/>
          <w:b w:val="0"/>
          <w:i w:val="0"/>
          <w:sz w:val="24"/>
        </w:rPr>
        <w:t xml:space="preserve">KYDLAND, F.E. and PRESCOTT, E.C. (1982). Time to build and aggregate fluctuations. </w:t>
      </w:r>
      <w:r>
        <w:rPr>
          <w:rFonts w:ascii="Times New Roman" w:hAnsi="Times New Roman" w:eastAsia="MS Mincho"/>
          <w:b w:val="0"/>
          <w:i/>
          <w:sz w:val="24"/>
        </w:rPr>
        <w:t>Econometrica</w:t>
      </w:r>
      <w:r>
        <w:rPr>
          <w:rFonts w:ascii="Times New Roman" w:hAnsi="Times New Roman" w:eastAsia="MS Mincho"/>
          <w:b w:val="0"/>
          <w:i w:val="0"/>
          <w:sz w:val="24"/>
        </w:rPr>
        <w:t xml:space="preserve"> 50, 1345–1370.</w:t>
      </w:r>
    </w:p>
    <w:p>
      <w:pPr>
        <w:spacing w:after="120" w:line="480" w:lineRule="auto"/>
        <w:ind w:firstLine="480"/>
      </w:pPr>
      <w:r>
        <w:rPr>
          <w:rFonts w:ascii="Times New Roman" w:hAnsi="Times New Roman" w:eastAsia="MS Mincho"/>
          <w:b w:val="0"/>
          <w:i w:val="0"/>
          <w:sz w:val="24"/>
        </w:rPr>
        <w:t xml:space="preserve">LANGE, G.-M., WODON, Q. and CAREY, K. (eds.) (2018). </w:t>
      </w:r>
      <w:r>
        <w:rPr>
          <w:rFonts w:ascii="Times New Roman" w:hAnsi="Times New Roman" w:eastAsia="MS Mincho"/>
          <w:b w:val="0"/>
          <w:i/>
          <w:sz w:val="24"/>
        </w:rPr>
        <w:t>The Changing Wealth of Nations 2018: Building a Sustainable Future</w:t>
      </w:r>
      <w:r>
        <w:rPr>
          <w:rFonts w:ascii="Times New Roman" w:hAnsi="Times New Roman" w:eastAsia="MS Mincho"/>
          <w:b w:val="0"/>
          <w:i w:val="0"/>
          <w:sz w:val="24"/>
        </w:rPr>
        <w:t>. Washington, DC: World Bank.</w:t>
      </w:r>
    </w:p>
    <w:p>
      <w:pPr>
        <w:spacing w:after="120" w:line="480" w:lineRule="auto"/>
        <w:ind w:firstLine="480"/>
      </w:pPr>
      <w:r>
        <w:rPr>
          <w:rFonts w:ascii="Times New Roman" w:hAnsi="Times New Roman" w:eastAsia="MS Mincho"/>
          <w:b w:val="0"/>
          <w:i w:val="0"/>
          <w:sz w:val="24"/>
        </w:rPr>
        <w:t xml:space="preserve">MANAGI, S. and KUMAR, P. (eds.) (2018). </w:t>
      </w:r>
      <w:r>
        <w:rPr>
          <w:rFonts w:ascii="Times New Roman" w:hAnsi="Times New Roman" w:eastAsia="MS Mincho"/>
          <w:b w:val="0"/>
          <w:i/>
          <w:sz w:val="24"/>
        </w:rPr>
        <w:t>Inclusive Wealth Report 2018</w:t>
      </w:r>
      <w:r>
        <w:rPr>
          <w:rFonts w:ascii="Times New Roman" w:hAnsi="Times New Roman" w:eastAsia="MS Mincho"/>
          <w:b w:val="0"/>
          <w:i w:val="0"/>
          <w:sz w:val="24"/>
        </w:rPr>
        <w:t>. London: Routledge.</w:t>
      </w:r>
    </w:p>
    <w:p>
      <w:pPr>
        <w:spacing w:after="120" w:line="480" w:lineRule="auto"/>
        <w:ind w:firstLine="480"/>
      </w:pPr>
      <w:r>
        <w:rPr>
          <w:rFonts w:ascii="Times New Roman" w:hAnsi="Times New Roman" w:eastAsia="MS Mincho"/>
          <w:b w:val="0"/>
          <w:i w:val="0"/>
          <w:sz w:val="24"/>
        </w:rPr>
        <w:t xml:space="preserve">MAYER, T. (1960). Plant and equipment lead times. </w:t>
      </w:r>
      <w:r>
        <w:rPr>
          <w:rFonts w:ascii="Times New Roman" w:hAnsi="Times New Roman" w:eastAsia="MS Mincho"/>
          <w:b w:val="0"/>
          <w:i/>
          <w:sz w:val="24"/>
        </w:rPr>
        <w:t>Journal of Business</w:t>
      </w:r>
      <w:r>
        <w:rPr>
          <w:rFonts w:ascii="Times New Roman" w:hAnsi="Times New Roman" w:eastAsia="MS Mincho"/>
          <w:b w:val="0"/>
          <w:i w:val="0"/>
          <w:sz w:val="24"/>
        </w:rPr>
        <w:t xml:space="preserve"> 33, 127–132.</w:t>
      </w:r>
    </w:p>
    <w:p>
      <w:pPr>
        <w:spacing w:after="120" w:line="480" w:lineRule="auto"/>
        <w:ind w:firstLine="480"/>
      </w:pPr>
      <w:r>
        <w:rPr>
          <w:rFonts w:ascii="Times New Roman" w:hAnsi="Times New Roman" w:eastAsia="MS Mincho"/>
          <w:b w:val="0"/>
          <w:i w:val="0"/>
          <w:sz w:val="24"/>
        </w:rPr>
        <w:t>NISHIMURA, K.G. and SAITA, Y.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 xml:space="preserve">OECD (2013). </w:t>
      </w:r>
      <w:r>
        <w:rPr>
          <w:rFonts w:ascii="Times New Roman" w:hAnsi="Times New Roman" w:eastAsia="MS Mincho"/>
          <w:b w:val="0"/>
          <w:i/>
          <w:sz w:val="24"/>
        </w:rPr>
        <w:t>Supporting Investment in Knowledge Capital, Growth and Innovation</w:t>
      </w:r>
      <w:r>
        <w:rPr>
          <w:rFonts w:ascii="Times New Roman" w:hAnsi="Times New Roman" w:eastAsia="MS Mincho"/>
          <w:b w:val="0"/>
          <w:i w:val="0"/>
          <w:sz w:val="24"/>
        </w:rPr>
        <w:t>. Paris: OECD Publishing.</w:t>
      </w:r>
    </w:p>
    <w:p>
      <w:pPr>
        <w:spacing w:after="120" w:line="480" w:lineRule="auto"/>
        <w:ind w:firstLine="480"/>
      </w:pPr>
      <w:r>
        <w:rPr>
          <w:rFonts w:ascii="Times New Roman" w:hAnsi="Times New Roman" w:eastAsia="MS Mincho"/>
          <w:b w:val="0"/>
          <w:i w:val="0"/>
          <w:sz w:val="24"/>
        </w:rPr>
        <w:t xml:space="preserve">ROTH, F. (2023). Intangible capital and productivity growth in the EU: a panel data perspective. </w:t>
      </w:r>
      <w:r>
        <w:rPr>
          <w:rFonts w:ascii="Times New Roman" w:hAnsi="Times New Roman" w:eastAsia="MS Mincho"/>
          <w:b w:val="0"/>
          <w:i/>
          <w:sz w:val="24"/>
        </w:rPr>
        <w:t>Hamburg Discussion Papers in International Economics</w:t>
      </w:r>
      <w:r>
        <w:rPr>
          <w:rFonts w:ascii="Times New Roman" w:hAnsi="Times New Roman" w:eastAsia="MS Mincho"/>
          <w:b w:val="0"/>
          <w:i w:val="0"/>
          <w:sz w:val="24"/>
        </w:rPr>
        <w:t xml:space="preserve"> 13.</w:t>
      </w:r>
    </w:p>
    <w:p>
      <w:pPr>
        <w:spacing w:after="120" w:line="480" w:lineRule="auto"/>
        <w:ind w:firstLine="480"/>
      </w:pPr>
      <w:r>
        <w:rPr>
          <w:rFonts w:ascii="Times New Roman" w:hAnsi="Times New Roman" w:eastAsia="MS Mincho"/>
          <w:b w:val="0"/>
          <w:i w:val="0"/>
          <w:sz w:val="24"/>
        </w:rPr>
        <w:t xml:space="preserve">SALOMON, J.A., WANG, H., FREEMAN, M.K., VOS, T., FLAXMAN, A.D., LOPEZ, A.D. and MURRAY, C.J.L. (2012). Healthy life expectancy for 187 countries, 1990–2010: a systematic analysis for the Global Burden Disease Study 2010. </w:t>
      </w:r>
      <w:r>
        <w:rPr>
          <w:rFonts w:ascii="Times New Roman" w:hAnsi="Times New Roman" w:eastAsia="MS Mincho"/>
          <w:b w:val="0"/>
          <w:i/>
          <w:sz w:val="24"/>
        </w:rPr>
        <w:t>The Lancet</w:t>
      </w:r>
      <w:r>
        <w:rPr>
          <w:rFonts w:ascii="Times New Roman" w:hAnsi="Times New Roman" w:eastAsia="MS Mincho"/>
          <w:b w:val="0"/>
          <w:i w:val="0"/>
          <w:sz w:val="24"/>
        </w:rPr>
        <w:t xml:space="preserve"> 380, 2144–2162.</w:t>
      </w:r>
    </w:p>
    <w:p>
      <w:pPr>
        <w:spacing w:after="120" w:line="480" w:lineRule="auto"/>
        <w:ind w:firstLine="480"/>
      </w:pPr>
      <w:r>
        <w:rPr>
          <w:rFonts w:ascii="Times New Roman" w:hAnsi="Times New Roman" w:eastAsia="MS Mincho"/>
          <w:b w:val="0"/>
          <w:i w:val="0"/>
          <w:sz w:val="24"/>
        </w:rPr>
        <w:t xml:space="preserve">SMETS, F. and WOUTERS, R. (2007). Shocks and frictions in US business cycles: a Bayesian DSGE approach. </w:t>
      </w:r>
      <w:r>
        <w:rPr>
          <w:rFonts w:ascii="Times New Roman" w:hAnsi="Times New Roman" w:eastAsia="MS Mincho"/>
          <w:b w:val="0"/>
          <w:i/>
          <w:sz w:val="24"/>
        </w:rPr>
        <w:t>American Economic Review</w:t>
      </w:r>
      <w:r>
        <w:rPr>
          <w:rFonts w:ascii="Times New Roman" w:hAnsi="Times New Roman" w:eastAsia="MS Mincho"/>
          <w:b w:val="0"/>
          <w:i w:val="0"/>
          <w:sz w:val="24"/>
        </w:rPr>
        <w:t xml:space="preserve"> 97, 586–606.</w:t>
      </w:r>
    </w:p>
    <w:p>
      <w:pPr>
        <w:spacing w:after="120" w:line="480" w:lineRule="auto"/>
        <w:ind w:firstLine="480"/>
      </w:pPr>
      <w:r>
        <w:rPr>
          <w:rFonts w:ascii="Times New Roman" w:hAnsi="Times New Roman" w:eastAsia="MS Mincho"/>
          <w:b w:val="0"/>
          <w:i w:val="0"/>
          <w:sz w:val="24"/>
        </w:rPr>
        <w:t xml:space="preserve">SOLOW, R.M. (1957). Technical change and the aggregate production function. </w:t>
      </w:r>
      <w:r>
        <w:rPr>
          <w:rFonts w:ascii="Times New Roman" w:hAnsi="Times New Roman" w:eastAsia="MS Mincho"/>
          <w:b w:val="0"/>
          <w:i/>
          <w:sz w:val="24"/>
        </w:rPr>
        <w:t>Review of Economics and Statistics</w:t>
      </w:r>
      <w:r>
        <w:rPr>
          <w:rFonts w:ascii="Times New Roman" w:hAnsi="Times New Roman" w:eastAsia="MS Mincho"/>
          <w:b w:val="0"/>
          <w:i w:val="0"/>
          <w:sz w:val="24"/>
        </w:rPr>
        <w:t xml:space="preserve"> 39, 312–320.</w:t>
      </w:r>
    </w:p>
    <w:p>
      <w:pPr>
        <w:spacing w:after="120" w:line="480" w:lineRule="auto"/>
        <w:ind w:firstLine="480"/>
      </w:pPr>
      <w:r>
        <w:rPr>
          <w:rFonts w:ascii="Times New Roman" w:hAnsi="Times New Roman" w:eastAsia="MS Mincho"/>
          <w:b w:val="0"/>
          <w:i w:val="0"/>
          <w:sz w:val="24"/>
        </w:rPr>
        <w:t xml:space="preserve">STIGLITZ, J.E., SEN, A. and FITOUSSI, J.-P. (2009). </w:t>
      </w:r>
      <w:r>
        <w:rPr>
          <w:rFonts w:ascii="Times New Roman" w:hAnsi="Times New Roman" w:eastAsia="MS Mincho"/>
          <w:b w:val="0"/>
          <w:i/>
          <w:sz w:val="24"/>
        </w:rPr>
        <w:t>Report by the Commission on the Measurement of Economic Performance and Social Progress</w:t>
      </w:r>
      <w:r>
        <w:rPr>
          <w:rFonts w:ascii="Times New Roman" w:hAnsi="Times New Roman" w:eastAsia="MS Mincho"/>
          <w:b w:val="0"/>
          <w:i w:val="0"/>
          <w:sz w:val="24"/>
        </w:rPr>
        <w:t>. Paris.</w:t>
      </w:r>
    </w:p>
    <w:p>
      <w:pPr>
        <w:spacing w:after="120" w:line="480" w:lineRule="auto"/>
        <w:ind w:firstLine="480"/>
      </w:pPr>
      <w:r>
        <w:rPr>
          <w:rFonts w:ascii="Times New Roman" w:hAnsi="Times New Roman" w:eastAsia="MS Mincho"/>
          <w:b w:val="0"/>
          <w:i w:val="0"/>
          <w:sz w:val="24"/>
        </w:rPr>
        <w:t xml:space="preserve">UNECE (2014). </w:t>
      </w:r>
      <w:r>
        <w:rPr>
          <w:rFonts w:ascii="Times New Roman" w:hAnsi="Times New Roman" w:eastAsia="MS Mincho"/>
          <w:b w:val="0"/>
          <w:i/>
          <w:sz w:val="24"/>
        </w:rPr>
        <w:t>Framework and Suggested Indicators to Measure Sustainable Development</w:t>
      </w:r>
      <w:r>
        <w:rPr>
          <w:rFonts w:ascii="Times New Roman" w:hAnsi="Times New Roman" w:eastAsia="MS Mincho"/>
          <w:b w:val="0"/>
          <w:i w:val="0"/>
          <w:sz w:val="24"/>
        </w:rPr>
        <w: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