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480" w:lineRule="auto"/>
        <w:ind w:firstLine="480"/>
      </w:pPr>
      <w:r>
        <w:rPr>
          <w:rFonts w:ascii="Times New Roman" w:hAnsi="Times New Roman" w:eastAsia="MS Mincho"/>
          <w:b/>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48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after="120" w:line="480" w:lineRule="auto"/>
        <w:ind w:firstLine="480"/>
      </w:pPr>
      <w:r>
        <w:rPr>
          <w:rFonts w:ascii="Times New Roman" w:hAnsi="Times New Roman" w:eastAsia="MS Mincho"/>
          <w:b/>
          <w:i w:val="0"/>
          <w:sz w:val="24"/>
        </w:rPr>
        <w:t>宣言事項</w:t>
      </w:r>
    </w:p>
    <w:p>
      <w:pPr>
        <w:spacing w:after="120" w:line="480" w:lineRule="auto"/>
        <w:ind w:firstLine="480"/>
      </w:pPr>
      <w:r>
        <w:rPr>
          <w:rFonts w:ascii="Times New Roman" w:hAnsi="Times New Roman" w:eastAsia="MS Mincho"/>
          <w:b w:val="0"/>
          <w:i/>
          <w:sz w:val="24"/>
        </w:rPr>
        <w:t>利益相反</w:t>
      </w:r>
      <w:r>
        <w:rPr>
          <w:rFonts w:ascii="Times New Roman" w:hAnsi="Times New Roman" w:eastAsia="MS Mincho"/>
          <w:b w:val="0"/>
          <w:i w:val="0"/>
          <w:sz w:val="24"/>
        </w:rPr>
        <w:t>: 著者は開示すべき利益相反を有しない。</w:t>
      </w:r>
    </w:p>
    <w:p>
      <w:pPr>
        <w:spacing w:after="120" w:line="480" w:lineRule="auto"/>
        <w:ind w:firstLine="480"/>
      </w:pPr>
      <w:r>
        <w:rPr>
          <w:rFonts w:ascii="Times New Roman" w:hAnsi="Times New Roman" w:eastAsia="MS Mincho"/>
          <w:b w:val="0"/>
          <w:i/>
          <w:sz w:val="24"/>
        </w:rPr>
        <w:t>資金</w:t>
      </w:r>
      <w:r>
        <w:rPr>
          <w:rFonts w:ascii="Times New Roman" w:hAnsi="Times New Roman" w:eastAsia="MS Mincho"/>
          <w:b w:val="0"/>
          <w:i w:val="0"/>
          <w:sz w:val="24"/>
        </w:rPr>
        <w:t>: 本研究に対する外部資金の提供はない。</w:t>
      </w:r>
    </w:p>
    <w:p>
      <w:pPr>
        <w:spacing w:after="120" w:line="480" w:lineRule="auto"/>
        <w:ind w:firstLine="480"/>
      </w:pPr>
      <w:r>
        <w:rPr>
          <w:rFonts w:ascii="Times New Roman" w:hAnsi="Times New Roman" w:eastAsia="MS Mincho"/>
          <w:b w:val="0"/>
          <w:i/>
          <w:sz w:val="24"/>
        </w:rPr>
        <w:t>データ・コード公開</w:t>
      </w:r>
      <w:r>
        <w:rPr>
          <w:rFonts w:ascii="Times New Roman" w:hAnsi="Times New Roman" w:eastAsia="MS Mincho"/>
          <w:b w:val="0"/>
          <w:i w:val="0"/>
          <w:sz w:val="24"/>
        </w:rPr>
        <w:t>: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 (https://github.com/bougtoir/gdp-tempo-paper) にすべて保管されている。</w:t>
      </w:r>
    </w:p>
    <w:p>
      <w:pPr>
        <w:spacing w:after="120" w:line="480" w:lineRule="auto"/>
        <w:ind w:firstLine="480"/>
      </w:pPr>
      <w:r>
        <w:rPr>
          <w:rFonts w:ascii="Times New Roman" w:hAnsi="Times New Roman" w:eastAsia="MS Mincho"/>
          <w:b w:val="0"/>
          <w:i/>
          <w:sz w:val="24"/>
        </w:rPr>
        <w:t>AI ツールの使用</w:t>
      </w:r>
      <w:r>
        <w:rPr>
          <w:rFonts w:ascii="Times New Roman" w:hAnsi="Times New Roman" w:eastAsia="MS Mincho"/>
          <w:b w:val="0"/>
          <w:i w:val="0"/>
          <w:sz w:val="24"/>
        </w:rPr>
        <w:t>: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i w:val="0"/>
          <w:sz w:val="24"/>
        </w:rPr>
        <w:t>要旨。</w:t>
      </w:r>
      <w:r>
        <w:rPr>
          <w:rFonts w:ascii="Times New Roman" w:hAnsi="Times New Roman" w:eastAsia="MS Mincho"/>
          <w:b w:val="0"/>
          <w:i w:val="0"/>
          <w:sz w:val="24"/>
        </w:rPr>
        <w:t xml:space="preserve"> 従来の成長会計が全要素生産性（TFP）と呼ぶもののかなりの部分が、帳簿上の人為的歪みであることを示す。これは、公式統計がゼロと置く時変タイム・トゥ・ビルドパラメータ </w:t>
      </w:r>
      <w:r>
        <w:rPr>
          <w:rFonts w:ascii="Times New Roman" w:hAnsi="Times New Roman" w:eastAsia="MS Mincho"/>
          <w:b w:val="0"/>
          <w:i/>
          <w:sz w:val="24"/>
        </w:rPr>
        <w:t>μ</w:t>
      </w:r>
      <w:r>
        <w:rPr>
          <w:rFonts w:ascii="Times New Roman" w:hAnsi="Times New Roman" w:eastAsia="MS Mincho"/>
          <w:b w:val="0"/>
          <w:i w:val="0"/>
          <w:sz w:val="24"/>
        </w:rPr>
        <w:t xml:space="preserve">(t) と省略された無形資本シェア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に起因する。OECD・中所得国39カ国（Penn World Table 10.01、世界銀行CWON、1995–2019年）について、</w:t>
      </w:r>
      <w:r>
        <w:rPr>
          <w:rFonts w:ascii="Times New Roman" w:hAnsi="Times New Roman" w:eastAsia="MS Mincho"/>
          <w:b w:val="0"/>
          <w:i/>
          <w:sz w:val="24"/>
        </w:rPr>
        <w:t>μ</w:t>
      </w:r>
      <w:r>
        <w:rPr>
          <w:rFonts w:ascii="Times New Roman" w:hAnsi="Times New Roman" w:eastAsia="MS Mincho"/>
          <w:b w:val="0"/>
          <w:i w:val="0"/>
          <w:sz w:val="24"/>
        </w:rPr>
        <w:t>のドリフトと</w:t>
      </w:r>
      <w:r>
        <w:rPr>
          <w:rFonts w:ascii="Times New Roman" w:hAnsi="Times New Roman" w:eastAsia="MS Mincho"/>
          <w:b w:val="0"/>
          <w:i/>
          <w:sz w:val="24"/>
        </w:rPr>
        <w:t>β</w:t>
      </w:r>
      <w:r>
        <w:rPr>
          <w:rFonts w:ascii="Times New Roman" w:hAnsi="Times New Roman" w:eastAsia="MS Mincho"/>
          <w:b w:val="0"/>
          <w:i w:val="0"/>
          <w:sz w:val="24"/>
        </w:rPr>
        <w:t>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48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48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before="360" w:after="120" w:line="480" w:lineRule="auto"/>
        <w:jc w:val="center"/>
      </w:pPr>
      <w:r>
        <w:rPr>
          <w:rFonts w:ascii="Times New Roman" w:hAnsi="Times New Roman" w:eastAsia="MS Mincho"/>
          <w:b/>
          <w:i w:val="0"/>
          <w:sz w:val="28"/>
        </w:rPr>
        <w:t>はじめに</w:t>
      </w:r>
    </w:p>
    <w:p>
      <w:pPr>
        <w:spacing w:after="120" w:line="48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480" w:lineRule="auto"/>
        <w:ind w:firstLine="480"/>
      </w:pPr>
      <w:r>
        <w:rPr>
          <w:rFonts w:ascii="Times New Roman" w:hAnsi="Times New Roman" w:eastAsia="MS Mincho"/>
          <w:b w:val="0"/>
          <w:i w:val="0"/>
          <w:sz w:val="24"/>
        </w:rPr>
        <w:t xml:space="preserve">第一のパラメータは、時変の投資から産出へのラグ </w:t>
      </w:r>
      <w:r>
        <w:rPr>
          <w:rFonts w:ascii="Times New Roman" w:hAnsi="Times New Roman" w:eastAsia="MS Mincho"/>
          <w:b w:val="0"/>
          <w:i/>
          <w:sz w:val="24"/>
        </w:rPr>
        <w:t>μ</w:t>
      </w:r>
      <w:r>
        <w:rPr>
          <w:rFonts w:ascii="Times New Roman" w:hAnsi="Times New Roman" w:eastAsia="MS Mincho"/>
          <w:b w:val="0"/>
          <w:i w:val="0"/>
          <w:sz w:val="24"/>
        </w:rPr>
        <w:t>(t) である。標準的な恒久棚卸法（PIM）は、投資が即座に生産的になる（</w:t>
      </w:r>
      <w:r>
        <w:rPr>
          <w:rFonts w:ascii="Times New Roman" w:hAnsi="Times New Roman" w:eastAsia="MS Mincho"/>
          <w:b w:val="0"/>
          <w:i/>
          <w:sz w:val="24"/>
        </w:rPr>
        <w:t>μ</w:t>
      </w:r>
      <w:r>
        <w:rPr>
          <w:rFonts w:ascii="Times New Roman" w:hAnsi="Times New Roman" w:eastAsia="MS Mincho"/>
          <w:b w:val="0"/>
          <w:i w:val="0"/>
          <w:sz w:val="24"/>
        </w:rPr>
        <w:t xml:space="preserve">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w:t>
      </w:r>
      <w:r>
        <w:rPr>
          <w:rFonts w:ascii="Times New Roman" w:hAnsi="Times New Roman" w:eastAsia="MS Mincho"/>
          <w:b w:val="0"/>
          <w:i/>
          <w:sz w:val="24"/>
        </w:rPr>
        <w:t>μ</w:t>
      </w:r>
      <w:r>
        <w:rPr>
          <w:rFonts w:ascii="Times New Roman" w:hAnsi="Times New Roman" w:eastAsia="MS Mincho"/>
          <w:b w:val="0"/>
          <w:i w:val="0"/>
          <w:sz w:val="24"/>
        </w:rPr>
        <w:t xml:space="preserve"> が上昇しているのにゼロと扱うと、PIM資本ストックのタイミングが狂い、ソロー残差がその誤差を吸収する。第二のパラメータは、無形資本シェア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である。Corrado, Hulten, and Sichel (2005, 2009) が無形投資の量的な大きさを示してきたにもかかわらず、世界銀行 CWON（Lange, Wodon, and Carey, 2018）を含む公的国富会計はほとんどの無形資本を生産資本から除外したままである。</w:t>
      </w:r>
      <w:r>
        <w:rPr>
          <w:rFonts w:ascii="Times New Roman" w:hAnsi="Times New Roman" w:eastAsia="MS Mincho"/>
          <w:b w:val="0"/>
          <w:i/>
          <w:sz w:val="24"/>
        </w:rPr>
        <w:t>β</w:t>
      </w:r>
      <w:r>
        <w:rPr>
          <w:rFonts w:ascii="Times New Roman" w:hAnsi="Times New Roman" w:eastAsia="MS Mincho"/>
          <w:b w:val="0"/>
          <w:i w:val="0"/>
          <w:sz w:val="24"/>
        </w:rPr>
        <w:t xml:space="preserve"> をゼロとすれば、欠落資本が再びTFPを膨張させる。</w:t>
      </w:r>
    </w:p>
    <w:p>
      <w:pPr>
        <w:spacing w:after="120" w:line="48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w:t>
      </w:r>
    </w:p>
    <w:p>
      <w:pPr>
        <w:spacing w:after="120" w:line="480" w:lineRule="auto"/>
        <w:ind w:firstLine="480"/>
      </w:pPr>
      <w:r>
        <w:rPr>
          <w:rFonts w:ascii="Times New Roman" w:hAnsi="Times New Roman" w:eastAsia="MS Mincho"/>
          <w:b w:val="0"/>
          <w:i w:val="0"/>
          <w:sz w:val="24"/>
        </w:rPr>
        <w:t xml:space="preserve">貢献は三つある。第一に、OECD・中所得国39カ国（Penn World Table 10.01、世界銀行CWON、1995–2019年）について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を同時推定し、時変 </w:t>
      </w:r>
      <w:r>
        <w:rPr>
          <w:rFonts w:ascii="Times New Roman" w:hAnsi="Times New Roman" w:eastAsia="MS Mincho"/>
          <w:b w:val="0"/>
          <w:i/>
          <w:sz w:val="24"/>
        </w:rPr>
        <w:t>μ</w:t>
      </w:r>
      <w:r>
        <w:rPr>
          <w:rFonts w:ascii="Times New Roman" w:hAnsi="Times New Roman" w:eastAsia="MS Mincho"/>
          <w:b w:val="0"/>
          <w:i w:val="0"/>
          <w:sz w:val="24"/>
        </w:rPr>
        <w:t>(t)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480" w:lineRule="auto"/>
        <w:ind w:firstLine="480"/>
      </w:pPr>
      <w:r>
        <w:rPr>
          <w:rFonts w:ascii="Times New Roman" w:hAnsi="Times New Roman" w:eastAsia="MS Mincho"/>
          <w:b w:val="0"/>
          <w:i w:val="0"/>
          <w:sz w:val="24"/>
        </w:rPr>
        <w:t>以降の構成は次の通り。第 II 節で関連文献を整理し、第 III 節で理論モデルを、第 IV 節でデータと推定手法および五つのモデル M0–M4 を、第 V 節でソロー残差分解と反事実的国富シミュレーションを含む結果を報告する。第 VI 節で政策含意と Beyond-GDP 議論を議論し、第 VII 節で結論を述べる。</w:t>
      </w:r>
    </w:p>
    <w:p>
      <w:pPr>
        <w:spacing w:before="360" w:after="120" w:line="480" w:lineRule="auto"/>
        <w:jc w:val="center"/>
      </w:pPr>
      <w:r>
        <w:rPr>
          <w:rFonts w:ascii="Times New Roman" w:hAnsi="Times New Roman" w:eastAsia="MS Mincho"/>
          <w:b/>
          <w:i w:val="0"/>
          <w:sz w:val="28"/>
        </w:rPr>
        <w:t>II 先行研究</w:t>
      </w:r>
    </w:p>
    <w:p>
      <w:pPr>
        <w:spacing w:after="120" w:line="480" w:lineRule="auto"/>
        <w:ind w:firstLine="480"/>
      </w:pPr>
      <w:r>
        <w:rPr>
          <w:rFonts w:ascii="Times New Roman" w:hAnsi="Times New Roman" w:eastAsia="MS Mincho"/>
          <w:b/>
          <w:i w:val="0"/>
          <w:sz w:val="24"/>
        </w:rPr>
        <w:t>資本会計とタイム・トゥ・ビルド。</w:t>
      </w:r>
      <w:r>
        <w:rPr>
          <w:rFonts w:ascii="Times New Roman" w:hAnsi="Times New Roman" w:eastAsia="MS Mincho"/>
          <w:b w:val="0"/>
          <w:i w:val="0"/>
          <w:sz w:val="24"/>
        </w:rPr>
        <w:t xml:space="preserve"> Kydland and Prescott (1982) 以来、景気循環モデルに多期間投資ラグを入れることは標準となった。経験推定はほぼすべて固定ラグ構造に基づくものであり、全期間で単一の </w:t>
      </w:r>
      <w:r>
        <w:rPr>
          <w:rFonts w:ascii="Times New Roman" w:hAnsi="Times New Roman" w:eastAsia="MS Mincho"/>
          <w:b w:val="0"/>
          <w:i/>
          <w:sz w:val="24"/>
        </w:rPr>
        <w:t>μ</w:t>
      </w:r>
      <w:r>
        <w:rPr>
          <w:rFonts w:ascii="Times New Roman" w:hAnsi="Times New Roman" w:eastAsia="MS Mincho"/>
          <w:b w:val="0"/>
          <w:i w:val="0"/>
          <w:sz w:val="24"/>
        </w:rPr>
        <w:t xml:space="preserve"> を推定するか、景気後退・拡大で少数の場面別 </w:t>
      </w:r>
      <w:r>
        <w:rPr>
          <w:rFonts w:ascii="Times New Roman" w:hAnsi="Times New Roman" w:eastAsia="MS Mincho"/>
          <w:b w:val="0"/>
          <w:i/>
          <w:sz w:val="24"/>
        </w:rPr>
        <w:t>μ</w:t>
      </w:r>
      <w:r>
        <w:rPr>
          <w:rFonts w:ascii="Times New Roman" w:hAnsi="Times New Roman" w:eastAsia="MS Mincho"/>
          <w:b w:val="0"/>
          <w:i w:val="0"/>
          <w:sz w:val="24"/>
        </w:rPr>
        <w:t xml:space="preserve">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w:t>
      </w:r>
      <w:r>
        <w:rPr>
          <w:rFonts w:ascii="Times New Roman" w:hAnsi="Times New Roman" w:eastAsia="MS Mincho"/>
          <w:b w:val="0"/>
          <w:i/>
          <w:sz w:val="24"/>
        </w:rPr>
        <w:t>μ</w:t>
      </w:r>
      <w:r>
        <w:rPr>
          <w:rFonts w:ascii="Times New Roman" w:hAnsi="Times New Roman" w:eastAsia="MS Mincho"/>
          <w:b w:val="0"/>
          <w:i w:val="0"/>
          <w:sz w:val="24"/>
        </w:rPr>
        <w:t xml:space="preserve">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i w:val="0"/>
          <w:sz w:val="24"/>
        </w:rPr>
        <w:t>無形資本。</w:t>
      </w:r>
      <w:r>
        <w:rPr>
          <w:rFonts w:ascii="Times New Roman" w:hAnsi="Times New Roman" w:eastAsia="MS Mincho"/>
          <w:b w:val="0"/>
          <w:i w:val="0"/>
          <w:sz w:val="24"/>
        </w:rPr>
        <w:t xml:space="preserve">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w:t>
      </w:r>
      <w:r>
        <w:rPr>
          <w:rFonts w:ascii="Times New Roman" w:hAnsi="Times New Roman" w:eastAsia="MS Mincho"/>
          <w:b w:val="0"/>
          <w:i/>
          <w:sz w:val="24"/>
        </w:rPr>
        <w:t>β</w:t>
      </w:r>
      <w:r>
        <w:rPr>
          <w:rFonts w:ascii="Times New Roman" w:hAnsi="Times New Roman" w:eastAsia="MS Mincho"/>
          <w:b w:val="0"/>
          <w:i w:val="0"/>
          <w:sz w:val="24"/>
        </w:rPr>
        <w:t xml:space="preserve"> はグローバル定数ではない。日本、ドイツ、一部の東アジア経済は調和測定の下でも米国より小さな無形シェアを保持する（Corrado et al., 2020）。したがって </w:t>
      </w:r>
      <w:r>
        <w:rPr>
          <w:rFonts w:ascii="Times New Roman" w:hAnsi="Times New Roman" w:eastAsia="MS Mincho"/>
          <w:b w:val="0"/>
          <w:i/>
          <w:sz w:val="24"/>
        </w:rPr>
        <w:t>β</w:t>
      </w:r>
      <w:r>
        <w:rPr>
          <w:rFonts w:ascii="Times New Roman" w:hAnsi="Times New Roman" w:eastAsia="MS Mincho"/>
          <w:b w:val="0"/>
          <w:i w:val="0"/>
          <w:sz w:val="24"/>
        </w:rPr>
        <w:t xml:space="preserve"> は国別パラメータであるべきであり、本稿の第 IV 節でもそのように扱う。</w:t>
      </w:r>
    </w:p>
    <w:p>
      <w:pPr>
        <w:spacing w:after="120" w:line="480" w:lineRule="auto"/>
        <w:ind w:firstLine="480"/>
      </w:pPr>
      <w:r>
        <w:rPr>
          <w:rFonts w:ascii="Times New Roman" w:hAnsi="Times New Roman" w:eastAsia="MS Mincho"/>
          <w:b/>
          <w:i w:val="0"/>
          <w:sz w:val="24"/>
        </w:rPr>
        <w:t>国富会計。</w:t>
      </w:r>
      <w:r>
        <w:rPr>
          <w:rFonts w:ascii="Times New Roman" w:hAnsi="Times New Roman" w:eastAsia="MS Mincho"/>
          <w:b w:val="0"/>
          <w:i w:val="0"/>
          <w:sz w:val="24"/>
        </w:rPr>
        <w:t xml:space="preserve">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i w:val="0"/>
          <w:sz w:val="24"/>
        </w:rPr>
        <w:t>人口学におけるテンポと忘却パラメータ。</w:t>
      </w:r>
      <w:r>
        <w:rPr>
          <w:rFonts w:ascii="Times New Roman" w:hAnsi="Times New Roman" w:eastAsia="MS Mincho"/>
          <w:b w:val="0"/>
          <w:i w:val="0"/>
          <w:sz w:val="24"/>
        </w:rPr>
        <w:t xml:space="preserve"> Bongaarts and Feeney (1998) は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の調整を導入した。</w:t>
      </w:r>
      <w:r>
        <w:rPr>
          <w:rFonts w:ascii="Times New Roman" w:hAnsi="Times New Roman" w:eastAsia="MS Mincho"/>
          <w:b w:val="0"/>
          <w:i w:val="0"/>
          <w:sz w:val="24"/>
        </w:rPr>
        <w:t xml:space="preserve">r(t)* は平均出産年齢の年変化である。Goldstein, Lutz, and Scherbov (2003) は、パリティ別の「忘れられた」分散 </w:t>
      </w:r>
      <w:r>
        <w:rPr>
          <w:rFonts w:ascii="Times New Roman" w:hAnsi="Times New Roman" w:eastAsia="MS Mincho"/>
          <w:b w:val="0"/>
          <w:i/>
          <w:sz w:val="24"/>
        </w:rPr>
        <w:t>σ</w:t>
      </w:r>
      <w:r>
        <w:rPr>
          <w:rFonts w:ascii="Times New Roman" w:hAnsi="Times New Roman" w:eastAsia="MS Mincho"/>
          <w:b w:val="0"/>
          <w:i w:val="0"/>
          <w:sz w:val="24"/>
        </w:rPr>
        <w:t xml:space="preserve">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i w:val="0"/>
          <w:sz w:val="24"/>
        </w:rPr>
        <w:t>医療と人的資本の持続可能性。</w:t>
      </w:r>
      <w:r>
        <w:rPr>
          <w:rFonts w:ascii="Times New Roman" w:hAnsi="Times New Roman" w:eastAsia="MS Mincho"/>
          <w:b w:val="0"/>
          <w:i w:val="0"/>
          <w:sz w:val="24"/>
        </w:rPr>
        <w:t xml:space="preserve"> 進行中の姉妹論文は、医療支出から平均寿命へのラグ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が 2000 年以降 OECD で年 0.15 年ずつ延伸していること、ならびに忘却パラメータ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i w:val="0"/>
          <w:sz w:val="24"/>
        </w:rPr>
        <w:t>本稿が埋める間隙。</w:t>
      </w:r>
      <w:r>
        <w:rPr>
          <w:rFonts w:ascii="Times New Roman" w:hAnsi="Times New Roman" w:eastAsia="MS Mincho"/>
          <w:b w:val="0"/>
          <w:i w:val="0"/>
          <w:sz w:val="24"/>
        </w:rPr>
        <w:t xml:space="preserve">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jc w:val="center"/>
      </w:pPr>
      <w:r>
        <w:rPr>
          <w:rFonts w:ascii="Times New Roman" w:hAnsi="Times New Roman" w:eastAsia="MS Mincho"/>
          <w:b/>
          <w:i w:val="0"/>
          <w:sz w:val="28"/>
        </w:rPr>
        <w:t>III 理論</w:t>
      </w:r>
    </w:p>
    <w:p>
      <w:pPr>
        <w:spacing w:before="360" w:after="120" w:line="480" w:lineRule="auto"/>
      </w:pPr>
      <w:r>
        <w:rPr>
          <w:rFonts w:ascii="Times New Roman" w:hAnsi="Times New Roman" w:eastAsia="MS Mincho"/>
          <w:b/>
          <w:i w:val="0"/>
          <w:sz w:val="24"/>
        </w:rPr>
        <w:t>III.1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before="240" w:after="240" w:line="48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before="240" w:after="240" w:line="48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480" w:lineRule="auto"/>
        <w:ind w:firstLine="480"/>
      </w:pPr>
      <w:r>
        <w:rPr>
          <w:rFonts w:ascii="Times New Roman" w:hAnsi="Times New Roman" w:eastAsia="MS Mincho"/>
          <w:b w:val="0"/>
          <w:i w:val="0"/>
          <w:sz w:val="24"/>
        </w:rPr>
        <w:t xml:space="preserve">ただし幾何的重み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、すなわち平均ラグはちょうど </w:t>
      </w:r>
      <w:r>
        <w:rPr>
          <w:rFonts w:ascii="Times New Roman" w:hAnsi="Times New Roman" w:eastAsia="MS Mincho"/>
          <w:b w:val="0"/>
          <w:i/>
          <w:sz w:val="24"/>
        </w:rPr>
        <w:t>μ</w:t>
      </w:r>
      <w:r>
        <w:rPr>
          <w:rFonts w:ascii="Times New Roman" w:hAnsi="Times New Roman" w:eastAsia="MS Mincho"/>
          <w:b w:val="0"/>
          <w:i w:val="0"/>
          <w:sz w:val="24"/>
        </w:rPr>
        <w:t xml:space="preserve"> 年である。ラグ文献との本質的差別化は、</w:t>
      </w:r>
      <w:r>
        <w:rPr>
          <w:rFonts w:ascii="Times New Roman" w:hAnsi="Times New Roman" w:eastAsia="MS Mincho"/>
          <w:b w:val="0"/>
          <w:i/>
          <w:sz w:val="24"/>
        </w:rPr>
        <w:t>μ</w:t>
      </w:r>
      <w:r>
        <w:rPr>
          <w:rFonts w:ascii="Times New Roman" w:hAnsi="Times New Roman" w:eastAsia="MS Mincho"/>
          <w:b w:val="0"/>
          <w:i w:val="0"/>
          <w:sz w:val="24"/>
        </w:rPr>
        <w:t xml:space="preserve"> に線形時変を許すことにある：</w:t>
      </w:r>
    </w:p>
    <w:p>
      <w:pPr>
        <w:spacing w:before="240" w:after="240" w:line="48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48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μ</w:t>
      </w:r>
      <w:r>
        <w:rPr>
          <w:rFonts w:ascii="Times New Roman" w:hAnsi="Times New Roman" w:eastAsia="MS Mincho"/>
          <w:b w:val="0"/>
          <w:i w:val="0"/>
          <w:sz w:val="24"/>
        </w:rPr>
        <w:t xml:space="preserve">₁ は Bongaarts-Feeney の意味での「テンポ」である。正の </w:t>
      </w:r>
      <w:r>
        <w:rPr>
          <w:rFonts w:ascii="Times New Roman" w:hAnsi="Times New Roman" w:eastAsia="MS Mincho"/>
          <w:b w:val="0"/>
          <w:i/>
          <w:sz w:val="24"/>
        </w:rPr>
        <w:t>μ</w:t>
      </w:r>
      <w:r>
        <w:rPr>
          <w:rFonts w:ascii="Times New Roman" w:hAnsi="Times New Roman" w:eastAsia="MS Mincho"/>
          <w:b w:val="0"/>
          <w:i w:val="0"/>
          <w:sz w:val="24"/>
        </w:rPr>
        <w:t xml:space="preserve">₁ は平均的投資がより長期化すること――たとえばデジタルインフラ、R&amp;D プラットフォーム、複雑な多年度組立を要する投資が増えること――を、負の </w:t>
      </w:r>
      <w:r>
        <w:rPr>
          <w:rFonts w:ascii="Times New Roman" w:hAnsi="Times New Roman" w:eastAsia="MS Mincho"/>
          <w:b w:val="0"/>
          <w:i/>
          <w:sz w:val="24"/>
        </w:rPr>
        <w:t>μ</w:t>
      </w:r>
      <w:r>
        <w:rPr>
          <w:rFonts w:ascii="Times New Roman" w:hAnsi="Times New Roman" w:eastAsia="MS Mincho"/>
          <w:b w:val="0"/>
          <w:i w:val="0"/>
          <w:sz w:val="24"/>
        </w:rPr>
        <w:t>₁ はその逆を意味する。</w:t>
      </w:r>
    </w:p>
    <w:p>
      <w:pPr>
        <w:spacing w:before="360" w:after="120" w:line="480" w:lineRule="auto"/>
      </w:pPr>
      <w:r>
        <w:rPr>
          <w:rFonts w:ascii="Times New Roman" w:hAnsi="Times New Roman" w:eastAsia="MS Mincho"/>
          <w:b/>
          <w:i w:val="0"/>
          <w:sz w:val="24"/>
        </w:rPr>
        <w:t>III.2 ストック側の無形資本：忘れられた β</w:t>
      </w:r>
    </w:p>
    <w:p>
      <w:pPr>
        <w:spacing w:after="120" w:line="480" w:lineRule="auto"/>
        <w:ind w:firstLine="480"/>
      </w:pP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を (M1)-(M2) から得られる有形 PIM ストックとし、</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を R&amp;D 支出を減耗率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で幾何的 PIM 化した無形ストックとする（Corrado-Hulten-Sichel, 2009）。無形を含む拡張生産関数は：</w:t>
      </w:r>
    </w:p>
    <w:p>
      <w:pPr>
        <w:spacing w:before="240" w:after="240" w:line="48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48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β</w:t>
      </w:r>
      <w:r>
        <w:rPr>
          <w:rFonts w:ascii="Times New Roman" w:hAnsi="Times New Roman" w:eastAsia="MS Mincho"/>
          <w:b w:val="0"/>
          <w:i w:val="0"/>
          <w:sz w:val="24"/>
        </w:rPr>
        <w:t xml:space="preserve"> は無形シェアである。標準慣行は </w:t>
      </w:r>
      <w:r>
        <w:rPr>
          <w:rFonts w:ascii="Times New Roman" w:hAnsi="Times New Roman" w:eastAsia="MS Mincho"/>
          <w:b w:val="0"/>
          <w:i/>
          <w:sz w:val="24"/>
        </w:rPr>
        <w:t>β</w:t>
      </w:r>
      <w:r>
        <w:rPr>
          <w:rFonts w:ascii="Times New Roman" w:hAnsi="Times New Roman" w:eastAsia="MS Mincho"/>
          <w:b w:val="0"/>
          <w:i w:val="0"/>
          <w:sz w:val="24"/>
        </w:rPr>
        <w:t xml:space="preserve"> = 0 を課す（Solow; 本稿 M0・M1 も同様）。</w:t>
      </w:r>
      <w:r>
        <w:rPr>
          <w:rFonts w:ascii="Times New Roman" w:hAnsi="Times New Roman" w:eastAsia="MS Mincho"/>
          <w:b w:val="0"/>
          <w:i/>
          <w:sz w:val="24"/>
        </w:rPr>
        <w:t>β</w:t>
      </w:r>
      <w:r>
        <w:rPr>
          <w:rFonts w:ascii="Times New Roman" w:hAnsi="Times New Roman" w:eastAsia="MS Mincho"/>
          <w:b w:val="0"/>
          <w:i w:val="0"/>
          <w:sz w:val="24"/>
        </w:rPr>
        <w:t xml:space="preserve"> &gt; 0 を推定することは、Goldstein-Lutz-Scherbov における </w:t>
      </w:r>
      <w:r>
        <w:rPr>
          <w:rFonts w:ascii="Times New Roman" w:hAnsi="Times New Roman" w:eastAsia="MS Mincho"/>
          <w:b w:val="0"/>
          <w:i/>
          <w:sz w:val="24"/>
        </w:rPr>
        <w:t>σ</w:t>
      </w:r>
      <w:r>
        <w:rPr>
          <w:rFonts w:ascii="Times New Roman" w:hAnsi="Times New Roman" w:eastAsia="MS Mincho"/>
          <w:b w:val="0"/>
          <w:i w:val="0"/>
          <w:sz w:val="24"/>
        </w:rPr>
        <w:t xml:space="preserve"> 再導入の資本会計上の類似物である。</w:t>
      </w:r>
    </w:p>
    <w:p>
      <w:pPr>
        <w:spacing w:before="360" w:after="120" w:line="480" w:lineRule="auto"/>
      </w:pPr>
      <w:r>
        <w:rPr>
          <w:rFonts w:ascii="Times New Roman" w:hAnsi="Times New Roman" w:eastAsia="MS Mincho"/>
          <w:b/>
          <w:i w:val="0"/>
          <w:sz w:val="24"/>
        </w:rPr>
        <w:t>III.3 統合恒等式：フロー＝ストック同時損失関数</w:t>
      </w:r>
    </w:p>
    <w:p>
      <w:pPr>
        <w:spacing w:after="120" w:line="480" w:lineRule="auto"/>
        <w:ind w:firstLine="480"/>
      </w:pPr>
      <w:r>
        <w:rPr>
          <w:rFonts w:ascii="Times New Roman" w:hAnsi="Times New Roman" w:eastAsia="MS Mincho"/>
          <w:b w:val="0"/>
          <w:i w:val="0"/>
          <w:sz w:val="24"/>
        </w:rPr>
        <w:t xml:space="preserve">整合的な国富集計 </w:t>
      </w:r>
      <w:r>
        <w:rPr>
          <w:rFonts w:ascii="Times New Roman" w:hAnsi="Times New Roman" w:eastAsia="MS Mincho"/>
          <w:b w:val="0"/>
          <w:i/>
          <w:sz w:val="24"/>
        </w:rPr>
        <w:t>W(t)</w:t>
      </w:r>
      <w:r>
        <w:rPr>
          <w:rFonts w:ascii="Times New Roman" w:hAnsi="Times New Roman" w:eastAsia="MS Mincho"/>
          <w:b w:val="0"/>
          <w:i w:val="0"/>
          <w:sz w:val="24"/>
        </w:rPr>
        <w:t xml:space="preserve"> は帳簿恒等式</w:t>
      </w:r>
    </w:p>
    <w:p>
      <w:pPr>
        <w:spacing w:before="240" w:after="240" w:line="48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480" w:lineRule="auto"/>
        <w:ind w:firstLine="480"/>
      </w:pPr>
      <w:r>
        <w:rPr>
          <w:rFonts w:ascii="Times New Roman" w:hAnsi="Times New Roman" w:eastAsia="MS Mincho"/>
          <w:b w:val="0"/>
          <w:i w:val="0"/>
          <w:sz w:val="24"/>
        </w:rPr>
        <w:t>を必ず満たす。(1) のもとで、生産側を支配する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は、国富勘定が含意する再生産可能資本軌道をも支配するはずである。したがって単一の同時損失関数を定義する：</w:t>
      </w:r>
    </w:p>
    <w:p>
      <w:pPr>
        <w:spacing w:before="240" w:after="240" w:line="48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480" w:lineRule="auto"/>
        <w:ind w:firstLine="480"/>
      </w:pP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は生産関数 (M3) の成長率残差、</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は PIM ストック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生産資本系列 NW.PCA.TO(t) の国内軌跡 RMSE である。(2) の最小化により「M4 同時」推定量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oint) を得る。</w:t>
      </w:r>
      <w:r>
        <w:rPr>
          <w:rFonts w:ascii="Times New Roman" w:hAnsi="Times New Roman" w:eastAsia="MS Mincho"/>
          <w:b w:val="0"/>
          <w:i/>
          <w:sz w:val="24"/>
        </w:rPr>
        <w:t>λ</w:t>
      </w:r>
      <w:r>
        <w:rPr>
          <w:rFonts w:ascii="Times New Roman" w:hAnsi="Times New Roman" w:eastAsia="MS Mincho"/>
          <w:b w:val="0"/>
          <w:i w:val="0"/>
          <w:sz w:val="24"/>
        </w:rPr>
        <w:t xml:space="preserve"> = 0 は生産のみの推定に帰着する。</w:t>
      </w:r>
    </w:p>
    <w:p>
      <w:pPr>
        <w:spacing w:before="360" w:after="120" w:line="480" w:lineRule="auto"/>
      </w:pPr>
      <w:r>
        <w:rPr>
          <w:rFonts w:ascii="Times New Roman" w:hAnsi="Times New Roman" w:eastAsia="MS Mincho"/>
          <w:b/>
          <w:i w:val="0"/>
          <w:sz w:val="24"/>
        </w:rPr>
        <w:t>III.4 人口と資本の量・テンポ対応</w:t>
      </w:r>
    </w:p>
    <w:p>
      <w:pPr>
        <w:spacing w:after="120" w:line="480" w:lineRule="auto"/>
        <w:ind w:firstLine="480"/>
      </w:pPr>
      <w:r>
        <w:rPr>
          <w:rFonts w:ascii="Times New Roman" w:hAnsi="Times New Roman" w:eastAsia="MS Mincho"/>
          <w:b w:val="0"/>
          <w:i w:val="0"/>
          <w:sz w:val="24"/>
        </w:rPr>
        <w:t xml:space="preserve">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w:t>
      </w:r>
      <w:r>
        <w:rPr>
          <w:rFonts w:ascii="Times New Roman" w:hAnsi="Times New Roman" w:eastAsia="MS Mincho"/>
          <w:b w:val="0"/>
          <w:i/>
          <w:sz w:val="24"/>
        </w:rPr>
        <w:t>σ</w:t>
      </w:r>
      <w:r>
        <w:rPr>
          <w:rFonts w:ascii="Times New Roman" w:hAnsi="Times New Roman" w:eastAsia="MS Mincho"/>
          <w:b w:val="0"/>
          <w:i w:val="0"/>
          <w:sz w:val="24"/>
        </w:rPr>
        <w:t xml:space="preserve">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III.5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をM0〜M4のいずれかのもとでPIM構築した資本ストック、</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をCWON生産資本NW.PCA.TOとする。</w:t>
      </w:r>
      <w:r>
        <w:rPr>
          <w:rFonts w:ascii="Times New Roman" w:hAnsi="Times New Roman" w:eastAsia="MS Mincho"/>
          <w:b/>
          <w:i w:val="0"/>
          <w:sz w:val="24"/>
        </w:rPr>
        <w:t>関係型PIM</w:t>
      </w:r>
      <w:r>
        <w:rPr>
          <w:rFonts w:ascii="Times New Roman" w:hAnsi="Times New Roman" w:eastAsia="MS Mincho"/>
          <w:b w:val="0"/>
          <w:i w:val="0"/>
          <w:sz w:val="24"/>
        </w:rPr>
        <w:t>（RPIM）を次のように定義する：</w:t>
      </w:r>
    </w:p>
    <w:p>
      <w:pPr>
        <w:spacing w:before="240" w:after="240" w:line="48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480" w:lineRule="auto"/>
        <w:ind w:firstLine="480"/>
      </w:pPr>
      <w:r>
        <w:rPr>
          <w:rFonts w:ascii="Times New Roman" w:hAnsi="Times New Roman" w:eastAsia="MS Mincho"/>
          <w:b w:val="0"/>
          <w:i w:val="0"/>
          <w:sz w:val="24"/>
        </w:rPr>
        <w:t>(</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は両系列が観測され正値をとる重複年について OLS で推定される関係パラメータである。解釈は直截である：</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かつ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：PIM と CWON の勘定は完全に整合的である――両者はホワイトノイズ誤差を除いて同一の潜在ストックを測定している。</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：PIM は CWON に対して累積的（規模依存的）バイアスを持つ。</w:t>
      </w:r>
      <w:r>
        <w:rPr>
          <w:rFonts w:ascii="Times New Roman" w:hAnsi="Times New Roman" w:eastAsia="MS Mincho"/>
          <w:b w:val="0"/>
          <w:i/>
          <w:sz w:val="24"/>
        </w:rPr>
        <w:t>ρ</w:t>
      </w:r>
      <w:r>
        <w:rPr>
          <w:rFonts w:ascii="Times New Roman" w:hAnsi="Times New Roman" w:eastAsia="MS Mincho"/>
          <w:b w:val="0"/>
          <w:i w:val="0"/>
          <w:sz w:val="24"/>
        </w:rPr>
        <w:t>₂ &lt; 1 なら PIM は CWON に比べ資本成長を過小評価し、</w:t>
      </w:r>
      <w:r>
        <w:rPr>
          <w:rFonts w:ascii="Times New Roman" w:hAnsi="Times New Roman" w:eastAsia="MS Mincho"/>
          <w:b w:val="0"/>
          <w:i/>
          <w:sz w:val="24"/>
        </w:rPr>
        <w:t>ρ</w:t>
      </w:r>
      <w:r>
        <w:rPr>
          <w:rFonts w:ascii="Times New Roman" w:hAnsi="Times New Roman" w:eastAsia="MS Mincho"/>
          <w:b w:val="0"/>
          <w:i w:val="0"/>
          <w:sz w:val="24"/>
        </w:rPr>
        <w:t>₂ &gt; 1 なら過大評価する。</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は各モデル仕様（M0〜M4）のもとで計算できるため、テンポ・無形補正が実際に両勘定を近づけるかどうかの独立したチェックとして、</w:t>
      </w:r>
      <w:r>
        <w:rPr>
          <w:rFonts w:ascii="Times New Roman" w:hAnsi="Times New Roman" w:eastAsia="MS Mincho"/>
          <w:b w:val="0"/>
          <w:i/>
          <w:sz w:val="24"/>
        </w:rPr>
        <w:t>ρ</w:t>
      </w:r>
      <w:r>
        <w:rPr>
          <w:rFonts w:ascii="Times New Roman" w:hAnsi="Times New Roman" w:eastAsia="MS Mincho"/>
          <w:b w:val="0"/>
          <w:i w:val="0"/>
          <w:sz w:val="24"/>
        </w:rPr>
        <w:t>₂ が 1 に向かう改善を検証できる。</w:t>
      </w:r>
    </w:p>
    <w:p>
      <w:pPr>
        <w:spacing w:before="360" w:after="120" w:line="480" w:lineRule="auto"/>
        <w:jc w:val="center"/>
      </w:pPr>
      <w:r>
        <w:rPr>
          <w:rFonts w:ascii="Times New Roman" w:hAnsi="Times New Roman" w:eastAsia="MS Mincho"/>
          <w:b/>
          <w:i w:val="0"/>
          <w:sz w:val="28"/>
        </w:rPr>
        <w:t>IV データと手法</w:t>
      </w:r>
    </w:p>
    <w:p>
      <w:pPr>
        <w:spacing w:before="360" w:after="120" w:line="480" w:lineRule="auto"/>
      </w:pPr>
      <w:r>
        <w:rPr>
          <w:rFonts w:ascii="Times New Roman" w:hAnsi="Times New Roman" w:eastAsia="MS Mincho"/>
          <w:b/>
          <w:i w:val="0"/>
          <w:sz w:val="24"/>
        </w:rPr>
        <w:t>IV.1 データ</w:t>
      </w:r>
    </w:p>
    <w:p>
      <w:pPr>
        <w:spacing w:after="120" w:line="480" w:lineRule="auto"/>
        <w:ind w:firstLine="480"/>
      </w:pPr>
      <w:r>
        <w:rPr>
          <w:rFonts w:ascii="Times New Roman" w:hAnsi="Times New Roman" w:eastAsia="MS Mincho"/>
          <w:b/>
          <w:i w:val="0"/>
          <w:sz w:val="24"/>
        </w:rPr>
        <w:t>Penn World Table 10.01</w:t>
      </w:r>
      <w:r>
        <w:rPr>
          <w:rFonts w:ascii="Times New Roman" w:hAnsi="Times New Roman" w:eastAsia="MS Mincho"/>
          <w:b w:val="0"/>
          <w:i w:val="0"/>
          <w:sz w:val="24"/>
        </w:rPr>
        <w:t>（Feenstra, Inklaar, and Timmer, 2015）を用いる：実質 GDP 産出 (</w:t>
      </w:r>
      <w:r>
        <w:rPr>
          <w:rFonts w:ascii="Times New Roman" w:hAnsi="Times New Roman" w:eastAsia="MS Mincho"/>
          <w:b w:val="0"/>
          <w:i/>
          <w:sz w:val="24"/>
        </w:rPr>
        <w:t>rgdpna</w:t>
      </w:r>
      <w:r>
        <w:rPr>
          <w:rFonts w:ascii="Times New Roman" w:hAnsi="Times New Roman" w:eastAsia="MS Mincho"/>
          <w:b w:val="0"/>
          <w:i w:val="0"/>
          <w:sz w:val="24"/>
        </w:rPr>
        <w:t>)、有形資本ストック (</w:t>
      </w:r>
      <w:r>
        <w:rPr>
          <w:rFonts w:ascii="Times New Roman" w:hAnsi="Times New Roman" w:eastAsia="MS Mincho"/>
          <w:b w:val="0"/>
          <w:i/>
          <w:sz w:val="24"/>
        </w:rPr>
        <w:t>rnna</w:t>
      </w:r>
      <w:r>
        <w:rPr>
          <w:rFonts w:ascii="Times New Roman" w:hAnsi="Times New Roman" w:eastAsia="MS Mincho"/>
          <w:b w:val="0"/>
          <w:i w:val="0"/>
          <w:sz w:val="24"/>
        </w:rPr>
        <w:t>)、投資比率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)、減耗率 (</w:t>
      </w:r>
      <w:r>
        <w:rPr>
          <w:rFonts w:ascii="Times New Roman" w:hAnsi="Times New Roman" w:eastAsia="MS Mincho"/>
          <w:b w:val="0"/>
          <w:i/>
          <w:sz w:val="24"/>
        </w:rPr>
        <w:t>delta</w:t>
      </w:r>
      <w:r>
        <w:rPr>
          <w:rFonts w:ascii="Times New Roman" w:hAnsi="Times New Roman" w:eastAsia="MS Mincho"/>
          <w:b w:val="0"/>
          <w:i w:val="0"/>
          <w:sz w:val="24"/>
        </w:rPr>
        <w:t>)、雇用 (</w:t>
      </w:r>
      <w:r>
        <w:rPr>
          <w:rFonts w:ascii="Times New Roman" w:hAnsi="Times New Roman" w:eastAsia="MS Mincho"/>
          <w:b w:val="0"/>
          <w:i/>
          <w:sz w:val="24"/>
        </w:rPr>
        <w:t>emp</w:t>
      </w:r>
      <w:r>
        <w:rPr>
          <w:rFonts w:ascii="Times New Roman" w:hAnsi="Times New Roman" w:eastAsia="MS Mincho"/>
          <w:b w:val="0"/>
          <w:i w:val="0"/>
          <w:sz w:val="24"/>
        </w:rPr>
        <w:t>)、平均労働時間 (</w:t>
      </w:r>
      <w:r>
        <w:rPr>
          <w:rFonts w:ascii="Times New Roman" w:hAnsi="Times New Roman" w:eastAsia="MS Mincho"/>
          <w:b w:val="0"/>
          <w:i/>
          <w:sz w:val="24"/>
        </w:rPr>
        <w:t>avh</w:t>
      </w:r>
      <w:r>
        <w:rPr>
          <w:rFonts w:ascii="Times New Roman" w:hAnsi="Times New Roman" w:eastAsia="MS Mincho"/>
          <w:b w:val="0"/>
          <w:i w:val="0"/>
          <w:sz w:val="24"/>
        </w:rPr>
        <w:t>)、人的資本指数 (</w:t>
      </w:r>
      <w:r>
        <w:rPr>
          <w:rFonts w:ascii="Times New Roman" w:hAnsi="Times New Roman" w:eastAsia="MS Mincho"/>
          <w:b w:val="0"/>
          <w:i/>
          <w:sz w:val="24"/>
        </w:rPr>
        <w:t>hc</w:t>
      </w:r>
      <w:r>
        <w:rPr>
          <w:rFonts w:ascii="Times New Roman" w:hAnsi="Times New Roman" w:eastAsia="MS Mincho"/>
          <w:b w:val="0"/>
          <w:i w:val="0"/>
          <w:sz w:val="24"/>
        </w:rPr>
        <w:t>)、労働分配率 (</w:t>
      </w:r>
      <w:r>
        <w:rPr>
          <w:rFonts w:ascii="Times New Roman" w:hAnsi="Times New Roman" w:eastAsia="MS Mincho"/>
          <w:b w:val="0"/>
          <w:i/>
          <w:sz w:val="24"/>
        </w:rPr>
        <w:t>labsh</w:t>
      </w:r>
      <w:r>
        <w:rPr>
          <w:rFonts w:ascii="Times New Roman" w:hAnsi="Times New Roman" w:eastAsia="MS Mincho"/>
          <w:b w:val="0"/>
          <w:i w:val="0"/>
          <w:sz w:val="24"/>
        </w:rPr>
        <w:t xml:space="preserve">)。R&amp;D 集約度は </w:t>
      </w:r>
      <w:r>
        <w:rPr>
          <w:rFonts w:ascii="Times New Roman" w:hAnsi="Times New Roman" w:eastAsia="MS Mincho"/>
          <w:b/>
          <w:i w:val="0"/>
          <w:sz w:val="24"/>
        </w:rPr>
        <w:t>World Bank WDI</w:t>
      </w:r>
      <w:r>
        <w:rPr>
          <w:rFonts w:ascii="Times New Roman" w:hAnsi="Times New Roman" w:eastAsia="MS Mincho"/>
          <w:b w:val="0"/>
          <w:i w:val="0"/>
          <w:sz w:val="24"/>
        </w:rPr>
        <w:t xml:space="preserve"> の </w:t>
      </w:r>
      <w:r>
        <w:rPr>
          <w:rFonts w:ascii="Times New Roman" w:hAnsi="Times New Roman" w:eastAsia="MS Mincho"/>
          <w:b w:val="0"/>
          <w:i/>
          <w:sz w:val="24"/>
        </w:rPr>
        <w:t>GB.XPD.RSDV.GD.ZS</w:t>
      </w:r>
      <w:r>
        <w:rPr>
          <w:rFonts w:ascii="Times New Roman" w:hAnsi="Times New Roman" w:eastAsia="MS Mincho"/>
          <w:b w:val="0"/>
          <w:i w:val="0"/>
          <w:sz w:val="24"/>
        </w:rPr>
        <w:t xml:space="preserve"> を用いる。国富には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年版（Lange, Wodon, and Carey, 2018）から </w:t>
      </w:r>
      <w:r>
        <w:rPr>
          <w:rFonts w:ascii="Times New Roman" w:hAnsi="Times New Roman" w:eastAsia="MS Mincho"/>
          <w:b w:val="0"/>
          <w:i/>
          <w:sz w:val="24"/>
        </w:rPr>
        <w:t>NW.PCA.TO</w:t>
      </w:r>
      <w:r>
        <w:rPr>
          <w:rFonts w:ascii="Times New Roman" w:hAnsi="Times New Roman" w:eastAsia="MS Mincho"/>
          <w:b w:val="0"/>
          <w:i w:val="0"/>
          <w:sz w:val="24"/>
        </w:rPr>
        <w:t>（生産資本総額）、</w:t>
      </w:r>
      <w:r>
        <w:rPr>
          <w:rFonts w:ascii="Times New Roman" w:hAnsi="Times New Roman" w:eastAsia="MS Mincho"/>
          <w:b w:val="0"/>
          <w:i/>
          <w:sz w:val="24"/>
        </w:rPr>
        <w:t>NW.HCA.TO</w:t>
      </w:r>
      <w:r>
        <w:rPr>
          <w:rFonts w:ascii="Times New Roman" w:hAnsi="Times New Roman" w:eastAsia="MS Mincho"/>
          <w:b w:val="0"/>
          <w:i w:val="0"/>
          <w:sz w:val="24"/>
        </w:rPr>
        <w:t>（人的資本総額）、</w:t>
      </w:r>
      <w:r>
        <w:rPr>
          <w:rFonts w:ascii="Times New Roman" w:hAnsi="Times New Roman" w:eastAsia="MS Mincho"/>
          <w:b w:val="0"/>
          <w:i/>
          <w:sz w:val="24"/>
        </w:rPr>
        <w:t>NW.TOW.TO</w:t>
      </w:r>
      <w:r>
        <w:rPr>
          <w:rFonts w:ascii="Times New Roman" w:hAnsi="Times New Roman" w:eastAsia="MS Mincho"/>
          <w:b w:val="0"/>
          <w:i w:val="0"/>
          <w:sz w:val="24"/>
        </w:rPr>
        <w:t>（総資産）を用いる。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IV.2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Solow 基準、</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は上記 M0、</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一定ラグ PIM (M1)、検定 B（成長率 RMSE）最小化で国別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を推定。</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時変ラグ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t₀)（上記 (M2)）。</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有形ストックに無形ストック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を追加し、成長率当てはめで </w:t>
      </w:r>
      <w:r>
        <w:rPr>
          <w:rFonts w:ascii="Times New Roman" w:hAnsi="Times New Roman" w:eastAsia="MS Mincho"/>
          <w:b w:val="0"/>
          <w:i/>
          <w:sz w:val="24"/>
        </w:rPr>
        <w:t>β</w:t>
      </w:r>
      <w:r>
        <w:rPr>
          <w:rFonts w:ascii="Times New Roman" w:hAnsi="Times New Roman" w:eastAsia="MS Mincho"/>
          <w:b w:val="0"/>
          <w:i w:val="0"/>
          <w:sz w:val="24"/>
        </w:rPr>
        <w:t xml:space="preserve"> を推定。</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同時同定（III.3 節）。(2) を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A（水準 MAPE）</w:t>
      </w:r>
      <w:r>
        <w:rPr>
          <w:rFonts w:ascii="Times New Roman" w:hAnsi="Times New Roman" w:eastAsia="MS Mincho"/>
          <w:b w:val="0"/>
          <w:i w:val="0"/>
          <w:sz w:val="24"/>
        </w:rPr>
        <w:t>: 観測 log-GDP に対する当てはめ log-GDP の MAPE。10 年窓 TFP を除去した水準について評価。低いほど良い。</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B（成長 RMSE）</w:t>
      </w:r>
      <w:r>
        <w:rPr>
          <w:rFonts w:ascii="Times New Roman" w:hAnsi="Times New Roman" w:eastAsia="MS Mincho"/>
          <w:b w:val="0"/>
          <w:i w:val="0"/>
          <w:sz w:val="24"/>
        </w:rPr>
        <w:t>: 1 年 log-GDP 差分の RMSE、パーセンテージ・ポイント。低いほど良い。</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標本外 MAPE</w:t>
      </w:r>
      <w:r>
        <w:rPr>
          <w:rFonts w:ascii="Times New Roman" w:hAnsi="Times New Roman" w:eastAsia="MS Mincho"/>
          <w:b w:val="0"/>
          <w:i w:val="0"/>
          <w:sz w:val="24"/>
        </w:rPr>
        <w:t>: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IV.3 推定手順とグリッド探索</w:t>
      </w:r>
    </w:p>
    <w:p>
      <w:pPr>
        <w:spacing w:after="120" w:line="480" w:lineRule="auto"/>
        <w:ind w:firstLine="480"/>
      </w:pPr>
      <w:r>
        <w:rPr>
          <w:rFonts w:ascii="Times New Roman" w:hAnsi="Times New Roman" w:eastAsia="MS Mincho"/>
          <w:b w:val="0"/>
          <w:i w:val="0"/>
          <w:sz w:val="24"/>
        </w:rPr>
        <w:t xml:space="preserve">五つのモデルすべてをグリッド探索で推定する。勾配最適化を用いない理由は三つある。第一に、目的関数 (2) は幾何ラグ核に由来する既知の非凸性を持ち、特に </w:t>
      </w:r>
      <w:r>
        <w:rPr>
          <w:rFonts w:ascii="Times New Roman" w:hAnsi="Times New Roman" w:eastAsia="MS Mincho"/>
          <w:b w:val="0"/>
          <w:i/>
          <w:sz w:val="24"/>
        </w:rPr>
        <w:t>μ</w:t>
      </w:r>
      <w:r>
        <w:rPr>
          <w:rFonts w:ascii="Times New Roman" w:hAnsi="Times New Roman" w:eastAsia="MS Mincho"/>
          <w:b w:val="0"/>
          <w:i w:val="0"/>
          <w:sz w:val="24"/>
        </w:rPr>
        <w:t xml:space="preserve">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w:t>
      </w:r>
      <w:r>
        <w:rPr>
          <w:rFonts w:ascii="Times New Roman" w:hAnsi="Times New Roman" w:eastAsia="MS Mincho"/>
          <w:b w:val="0"/>
          <w:i/>
          <w:sz w:val="24"/>
        </w:rPr>
        <w:t>μ</w:t>
      </w:r>
      <w:r>
        <w:rPr>
          <w:rFonts w:ascii="Times New Roman" w:hAnsi="Times New Roman" w:eastAsia="MS Mincho"/>
          <w:b w:val="0"/>
          <w:i w:val="0"/>
          <w:sz w:val="24"/>
        </w:rPr>
        <w:t xml:space="preserve"> のグリッドは {0.01, 0.05, 0.10, 0.25, 0.50, 1.0, 1.5, 2.0, 3.0, 4.5, 6.0} 年、</w:t>
      </w:r>
      <w:r>
        <w:rPr>
          <w:rFonts w:ascii="Times New Roman" w:hAnsi="Times New Roman" w:eastAsia="MS Mincho"/>
          <w:b w:val="0"/>
          <w:i/>
          <w:sz w:val="24"/>
        </w:rPr>
        <w:t>β</w:t>
      </w:r>
      <w:r>
        <w:rPr>
          <w:rFonts w:ascii="Times New Roman" w:hAnsi="Times New Roman" w:eastAsia="MS Mincho"/>
          <w:b w:val="0"/>
          <w:i w:val="0"/>
          <w:sz w:val="24"/>
        </w:rPr>
        <w:t xml:space="preserve"> のグリッドは {0.00, 0.02, ..., 0.34}、</w:t>
      </w:r>
      <w:r>
        <w:rPr>
          <w:rFonts w:ascii="Times New Roman" w:hAnsi="Times New Roman" w:eastAsia="MS Mincho"/>
          <w:b w:val="0"/>
          <w:i/>
          <w:sz w:val="24"/>
        </w:rPr>
        <w:t>μ</w:t>
      </w:r>
      <w:r>
        <w:rPr>
          <w:rFonts w:ascii="Times New Roman" w:hAnsi="Times New Roman" w:eastAsia="MS Mincho"/>
          <w:b w:val="0"/>
          <w:i w:val="0"/>
          <w:sz w:val="24"/>
        </w:rPr>
        <w:t>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w:t>
      </w:r>
      <w:r>
        <w:rPr>
          <w:rFonts w:ascii="Times New Roman" w:hAnsi="Times New Roman" w:eastAsia="MS Mincho"/>
          <w:b w:val="0"/>
          <w:i/>
          <w:sz w:val="24"/>
        </w:rPr>
        <w:t>μ</w:t>
      </w:r>
      <w:r>
        <w:rPr>
          <w:rFonts w:ascii="Times New Roman" w:hAnsi="Times New Roman" w:eastAsia="MS Mincho"/>
          <w:b w:val="0"/>
          <w:i w:val="0"/>
          <w:sz w:val="24"/>
        </w:rPr>
        <w:t>₀ を基準年の平均ラグとして解釈可能にしている。</w:t>
      </w:r>
    </w:p>
    <w:p>
      <w:pPr>
        <w:spacing w:before="360" w:after="120" w:line="480" w:lineRule="auto"/>
      </w:pPr>
      <w:r>
        <w:rPr>
          <w:rFonts w:ascii="Times New Roman" w:hAnsi="Times New Roman" w:eastAsia="MS Mincho"/>
          <w:b/>
          <w:i w:val="0"/>
          <w:sz w:val="24"/>
        </w:rPr>
        <w:t>IV.4 ブートストラップ信頼区間</w:t>
      </w:r>
    </w:p>
    <w:p>
      <w:pPr>
        <w:spacing w:after="120" w:line="480" w:lineRule="auto"/>
        <w:ind w:firstLine="480"/>
      </w:pPr>
      <w:r>
        <w:rPr>
          <w:rFonts w:ascii="Times New Roman" w:hAnsi="Times New Roman" w:eastAsia="MS Mincho"/>
          <w:b w:val="0"/>
          <w:i w:val="0"/>
          <w:sz w:val="24"/>
        </w:rPr>
        <w:t xml:space="preserve">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と WDI 比率を使って合成投資系列と合成 R&amp;D 集約度を逆算、(iv)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と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を再構築、(v) 同時同定グリッドを再走して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w:t>
      </w:r>
      <w:r>
        <w:rPr>
          <w:rFonts w:ascii="Times New Roman" w:hAnsi="Times New Roman" w:eastAsia="MS Mincho"/>
          <w:b w:val="0"/>
          <w:i/>
          <w:sz w:val="24"/>
        </w:rPr>
        <w:t>μ</w:t>
      </w:r>
      <w:r>
        <w:rPr>
          <w:rFonts w:ascii="Times New Roman" w:hAnsi="Times New Roman" w:eastAsia="MS Mincho"/>
          <w:b w:val="0"/>
          <w:i w:val="0"/>
          <w:sz w:val="24"/>
        </w:rPr>
        <w:t xml:space="preserve"> = 0 は 14 カ国で、</w:t>
      </w:r>
      <w:r>
        <w:rPr>
          <w:rFonts w:ascii="Times New Roman" w:hAnsi="Times New Roman" w:eastAsia="MS Mincho"/>
          <w:b w:val="0"/>
          <w:i/>
          <w:sz w:val="24"/>
        </w:rPr>
        <w:t>β</w:t>
      </w:r>
      <w:r>
        <w:rPr>
          <w:rFonts w:ascii="Times New Roman" w:hAnsi="Times New Roman" w:eastAsia="MS Mincho"/>
          <w:b w:val="0"/>
          <w:i w:val="0"/>
          <w:sz w:val="24"/>
        </w:rPr>
        <w:t xml:space="preserve"> = 0 は 9 カ国で棄却される。</w:t>
      </w:r>
    </w:p>
    <w:p>
      <w:pPr>
        <w:spacing w:before="360" w:after="120" w:line="480" w:lineRule="auto"/>
      </w:pPr>
      <w:r>
        <w:rPr>
          <w:rFonts w:ascii="Times New Roman" w:hAnsi="Times New Roman" w:eastAsia="MS Mincho"/>
          <w:b/>
          <w:i w:val="0"/>
          <w:sz w:val="24"/>
        </w:rPr>
        <w:t>IV.5 γ_price 感度</w:t>
      </w:r>
    </w:p>
    <w:p>
      <w:pPr>
        <w:spacing w:after="120" w:line="480" w:lineRule="auto"/>
        <w:ind w:firstLine="480"/>
      </w:pPr>
      <w:r>
        <w:rPr>
          <w:rFonts w:ascii="Times New Roman" w:hAnsi="Times New Roman" w:eastAsia="MS Mincho"/>
          <w:b w:val="0"/>
          <w:i w:val="0"/>
          <w:sz w:val="24"/>
        </w:rPr>
        <w:t xml:space="preserve">日本などで残る PIM–CWON 乖離が資産価格再評価効果によるのか実ストックの差異なのかを検証するため、CWON PCA を年率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で膨張／収縮させた対照シナリオで比較を繰り返す。特定国で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は同時枠組の追加推定量ではないという点である。追加推定量であれば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β</w:t>
      </w:r>
      <w:r>
        <w:rPr>
          <w:rFonts w:ascii="Times New Roman" w:hAnsi="Times New Roman" w:eastAsia="MS Mincho"/>
          <w:b w:val="0"/>
          <w:i w:val="0"/>
          <w:sz w:val="24"/>
        </w:rPr>
        <w:t xml:space="preserve"> と並んで (2) に入るはずである。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はむしろ診断道具であり、特定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値での PIM と CWON の残差乖離は、(a) PIM 側の量的誤測定、(b) CWON 側の量的誤測定、(c) 真の構成変化（有形から無形への実シフトで両勘定がまだ完全に吸収していない）のいずれかを意味する。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スイープはこれら三つを区別する助けとなる。</w:t>
      </w:r>
    </w:p>
    <w:p>
      <w:pPr>
        <w:spacing w:before="360" w:after="120" w:line="480" w:lineRule="auto"/>
        <w:jc w:val="center"/>
      </w:pPr>
      <w:r>
        <w:rPr>
          <w:rFonts w:ascii="Times New Roman" w:hAnsi="Times New Roman" w:eastAsia="MS Mincho"/>
          <w:b/>
          <w:i w:val="0"/>
          <w:sz w:val="28"/>
        </w:rPr>
        <w:t>V 結果</w:t>
      </w:r>
    </w:p>
    <w:p>
      <w:pPr>
        <w:spacing w:before="360" w:after="120" w:line="480" w:lineRule="auto"/>
      </w:pPr>
      <w:r>
        <w:rPr>
          <w:rFonts w:ascii="Times New Roman" w:hAnsi="Times New Roman" w:eastAsia="MS Mincho"/>
          <w:b/>
          <w:i w:val="0"/>
          <w:sz w:val="24"/>
        </w:rPr>
        <w:t>V.1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 xml:space="preserve">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w:t>
      </w:r>
      <w:r>
        <w:rPr>
          <w:rFonts w:ascii="Times New Roman" w:hAnsi="Times New Roman" w:eastAsia="MS Mincho"/>
          <w:b w:val="0"/>
          <w:i/>
          <w:sz w:val="24"/>
        </w:rPr>
        <w:t>μ</w:t>
      </w:r>
      <w:r>
        <w:rPr>
          <w:rFonts w:ascii="Times New Roman" w:hAnsi="Times New Roman" w:eastAsia="MS Mincho"/>
          <w:b w:val="0"/>
          <w:i w:val="0"/>
          <w:sz w:val="24"/>
        </w:rPr>
        <w:t xml:space="preserve">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w:t>
      </w:r>
      <w:r>
        <w:rPr>
          <w:rFonts w:ascii="Times New Roman" w:hAnsi="Times New Roman" w:eastAsia="MS Mincho"/>
          <w:b w:val="0"/>
          <w:i/>
          <w:sz w:val="24"/>
        </w:rPr>
        <w:t>μ</w:t>
      </w:r>
      <w:r>
        <w:rPr>
          <w:rFonts w:ascii="Times New Roman" w:hAnsi="Times New Roman" w:eastAsia="MS Mincho"/>
          <w:b w:val="0"/>
          <w:i/>
          <w:sz w:val="24"/>
        </w:rPr>
        <w:t xml:space="preserve"> の分布が著しく非退化であることである。M1 での四分位範囲は 0.1 年以下から 1.2 年以上にわたり、M2 のテンポ・ドリフト </w:t>
      </w:r>
      <w:r>
        <w:rPr>
          <w:rFonts w:ascii="Times New Roman" w:hAnsi="Times New Roman" w:eastAsia="MS Mincho"/>
          <w:b w:val="0"/>
          <w:i/>
          <w:sz w:val="24"/>
        </w:rPr>
        <w:t>μ</w:t>
      </w:r>
      <w:r>
        <w:rPr>
          <w:rFonts w:ascii="Times New Roman" w:hAnsi="Times New Roman" w:eastAsia="MS Mincho"/>
          <w:b w:val="0"/>
          <w:i/>
          <w:sz w:val="24"/>
        </w:rPr>
        <w:t xml:space="preserve">₁ の IQR は実質的に負側と正側の双方を含む。M0 に暗黙に含まれる「ユニバーサル </w:t>
      </w:r>
      <w:r>
        <w:rPr>
          <w:rFonts w:ascii="Times New Roman" w:hAnsi="Times New Roman" w:eastAsia="MS Mincho"/>
          <w:b w:val="0"/>
          <w:i/>
          <w:sz w:val="24"/>
        </w:rPr>
        <w:t>μ</w:t>
      </w:r>
      <w:r>
        <w:rPr>
          <w:rFonts w:ascii="Times New Roman" w:hAnsi="Times New Roman" w:eastAsia="MS Mincho"/>
          <w:b w:val="0"/>
          <w:i/>
          <w:sz w:val="24"/>
        </w:rPr>
        <w:t xml:space="preserve">」仮定は単に統計的に破られているだけでなく、サンプルの両方向で破られているのであり、これは景気循環文献で人気の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w:t>
      </w:r>
      <w:r>
        <w:rPr>
          <w:rFonts w:ascii="Times New Roman" w:hAnsi="Times New Roman" w:eastAsia="MS Mincho"/>
          <w:b w:val="0"/>
          <w:i/>
          <w:sz w:val="24"/>
        </w:rPr>
        <w:t>μ</w:t>
      </w:r>
      <w:r>
        <w:rPr>
          <w:rFonts w:ascii="Times New Roman" w:hAnsi="Times New Roman" w:eastAsia="MS Mincho"/>
          <w:b w:val="0"/>
          <w:i w:val="0"/>
          <w:sz w:val="24"/>
        </w:rPr>
        <w:t xml:space="preserve"> はおよそ 0.3 年、M2 テンポ・ドリフト </w:t>
      </w:r>
      <w:r>
        <w:rPr>
          <w:rFonts w:ascii="Times New Roman" w:hAnsi="Times New Roman" w:eastAsia="MS Mincho"/>
          <w:b w:val="0"/>
          <w:i/>
          <w:sz w:val="24"/>
        </w:rPr>
        <w:t>μ</w:t>
      </w:r>
      <w:r>
        <w:rPr>
          <w:rFonts w:ascii="Times New Roman" w:hAnsi="Times New Roman" w:eastAsia="MS Mincho"/>
          <w:b w:val="0"/>
          <w:i w:val="0"/>
          <w:sz w:val="24"/>
        </w:rPr>
        <w:t xml:space="preserve">₁ は平均でゼロ近傍だが国間分散は大きい（IQR はおおむね [−0.02, +0.05]）。M3 の無形シェア </w:t>
      </w:r>
      <w:r>
        <w:rPr>
          <w:rFonts w:ascii="Times New Roman" w:hAnsi="Times New Roman" w:eastAsia="MS Mincho"/>
          <w:b w:val="0"/>
          <w:i/>
          <w:sz w:val="24"/>
        </w:rPr>
        <w:t>β</w:t>
      </w:r>
      <w:r>
        <w:rPr>
          <w:rFonts w:ascii="Times New Roman" w:hAnsi="Times New Roman" w:eastAsia="MS Mincho"/>
          <w:b w:val="0"/>
          <w:i w:val="0"/>
          <w:sz w:val="24"/>
        </w:rPr>
        <w:t xml:space="preserve">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V.2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w:t>
      </w:r>
      <w:r>
        <w:rPr>
          <w:rFonts w:ascii="Times New Roman" w:hAnsi="Times New Roman" w:eastAsia="MS Mincho"/>
          <w:b/>
          <w:i w:val="0"/>
          <w:sz w:val="24"/>
        </w:rPr>
        <w:t>標本外 MAPE 中央値は Solow 基準 M0 の 4.60 % から時変ラグ M2 の 3.99 % に低下した</w:t>
      </w:r>
      <w:r>
        <w:rPr>
          <w:rFonts w:ascii="Times New Roman" w:hAnsi="Times New Roman" w:eastAsia="MS Mincho"/>
          <w:b w:val="0"/>
          <w:i w:val="0"/>
          <w:sz w:val="24"/>
        </w:rPr>
        <w:t>（13 %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 xml:space="preserve">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w:t>
      </w:r>
      <w:r>
        <w:rPr>
          <w:rFonts w:ascii="Times New Roman" w:hAnsi="Times New Roman" w:eastAsia="MS Mincho"/>
          <w:b w:val="0"/>
          <w:i/>
          <w:sz w:val="24"/>
        </w:rPr>
        <w:t>μ</w:t>
      </w:r>
      <w:r>
        <w:rPr>
          <w:rFonts w:ascii="Times New Roman" w:hAnsi="Times New Roman" w:eastAsia="MS Mincho"/>
          <w:b w:val="0"/>
          <w:i w:val="0"/>
          <w:sz w:val="24"/>
        </w:rPr>
        <w:t xml:space="preserve">(t)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w:t>
      </w:r>
      <w:r>
        <w:rPr>
          <w:rFonts w:ascii="Times New Roman" w:hAnsi="Times New Roman" w:eastAsia="MS Mincho"/>
          <w:b w:val="0"/>
          <w:i/>
          <w:sz w:val="24"/>
        </w:rPr>
        <w:t>β</w:t>
      </w:r>
      <w:r>
        <w:rPr>
          <w:rFonts w:ascii="Times New Roman" w:hAnsi="Times New Roman" w:eastAsia="MS Mincho"/>
          <w:b w:val="0"/>
          <w:i w:val="0"/>
          <w:sz w:val="24"/>
        </w:rPr>
        <w:t xml:space="preserve"> が特定できない局面でも、国富側の制約が </w:t>
      </w:r>
      <w:r>
        <w:rPr>
          <w:rFonts w:ascii="Times New Roman" w:hAnsi="Times New Roman" w:eastAsia="MS Mincho"/>
          <w:b w:val="0"/>
          <w:i/>
          <w:sz w:val="24"/>
        </w:rPr>
        <w:t>β</w:t>
      </w:r>
      <w:r>
        <w:rPr>
          <w:rFonts w:ascii="Times New Roman" w:hAnsi="Times New Roman" w:eastAsia="MS Mincho"/>
          <w:b w:val="0"/>
          <w:i w:val="0"/>
          <w:sz w:val="24"/>
        </w:rPr>
        <w:t xml:space="preserve"> に有意な下限を与える。</w:t>
      </w:r>
    </w:p>
    <w:p>
      <w:pPr>
        <w:spacing w:before="360" w:after="120" w:line="480" w:lineRule="auto"/>
      </w:pPr>
      <w:r>
        <w:rPr>
          <w:rFonts w:ascii="Times New Roman" w:hAnsi="Times New Roman" w:eastAsia="MS Mincho"/>
          <w:b/>
          <w:i w:val="0"/>
          <w:sz w:val="24"/>
        </w:rPr>
        <w:t>V.3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 xml:space="preserve">図 3 は PIM 再構築資本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 xml:space="preserve">図 4 は日本のずれが実ストック差ではなく資産価格再評価効果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によるかを検証する。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は日本の log 比率を合計で約 0.25 log 単位動かすので、観測された約 0.06 log 単位の乖離は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V.4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 xml:space="preserve">同時推定量に対するブートストラップ信頼区間（図 3）は、国ごとに見れば </w:t>
      </w:r>
      <w:r>
        <w:rPr>
          <w:rFonts w:ascii="Times New Roman" w:hAnsi="Times New Roman" w:eastAsia="MS Mincho"/>
          <w:b w:val="0"/>
          <w:i/>
          <w:sz w:val="24"/>
        </w:rPr>
        <w:t>μ</w:t>
      </w:r>
      <w:r>
        <w:rPr>
          <w:rFonts w:ascii="Times New Roman" w:hAnsi="Times New Roman" w:eastAsia="MS Mincho"/>
          <w:b w:val="0"/>
          <w:i w:val="0"/>
          <w:sz w:val="24"/>
        </w:rPr>
        <w:t xml:space="preserve"> と </w:t>
      </w:r>
      <w:r>
        <w:rPr>
          <w:rFonts w:ascii="Times New Roman" w:hAnsi="Times New Roman" w:eastAsia="MS Mincho"/>
          <w:b w:val="0"/>
          <w:i/>
          <w:sz w:val="24"/>
        </w:rPr>
        <w:t>β</w:t>
      </w:r>
      <w:r>
        <w:rPr>
          <w:rFonts w:ascii="Times New Roman" w:hAnsi="Times New Roman" w:eastAsia="MS Mincho"/>
          <w:b w:val="0"/>
          <w:i w:val="0"/>
          <w:sz w:val="24"/>
        </w:rPr>
        <w:t xml:space="preserve"> は生産面残差のみからは弱い同定しか得られないことを示す。</w:t>
      </w:r>
      <w:r>
        <w:rPr>
          <w:rFonts w:ascii="Times New Roman" w:hAnsi="Times New Roman" w:eastAsia="MS Mincho"/>
          <w:b w:val="0"/>
          <w:i/>
          <w:sz w:val="24"/>
        </w:rPr>
        <w:t>μ</w:t>
      </w:r>
      <w:r>
        <w:rPr>
          <w:rFonts w:ascii="Times New Roman" w:hAnsi="Times New Roman" w:eastAsia="MS Mincho"/>
          <w:b w:val="0"/>
          <w:i w:val="0"/>
          <w:sz w:val="24"/>
        </w:rPr>
        <w:t xml:space="preserve"> の 95 % 区間の中央値はグリッド [0.01, 6.0] のほぼ全域にまたがり、</w:t>
      </w:r>
      <w:r>
        <w:rPr>
          <w:rFonts w:ascii="Times New Roman" w:hAnsi="Times New Roman" w:eastAsia="MS Mincho"/>
          <w:b w:val="0"/>
          <w:i/>
          <w:sz w:val="24"/>
        </w:rPr>
        <w:t>β</w:t>
      </w:r>
      <w:r>
        <w:rPr>
          <w:rFonts w:ascii="Times New Roman" w:hAnsi="Times New Roman" w:eastAsia="MS Mincho"/>
          <w:b w:val="0"/>
          <w:i w:val="0"/>
          <w:sz w:val="24"/>
        </w:rPr>
        <w:t xml:space="preserve"> の中央値もグリッド [0.0, 0.34] の約 70 % にまたがる。国富制約を加えると両者とも大幅に縮小する。同時同定は 39 カ国中 35 カ国で </w:t>
      </w:r>
      <w:r>
        <w:rPr>
          <w:rFonts w:ascii="Times New Roman" w:hAnsi="Times New Roman" w:eastAsia="MS Mincho"/>
          <w:b w:val="0"/>
          <w:i/>
          <w:sz w:val="24"/>
        </w:rPr>
        <w:t>μ</w:t>
      </w:r>
      <w:r>
        <w:rPr>
          <w:rFonts w:ascii="Times New Roman" w:hAnsi="Times New Roman" w:eastAsia="MS Mincho"/>
          <w:b w:val="0"/>
          <w:i w:val="0"/>
          <w:sz w:val="24"/>
        </w:rPr>
        <w:t xml:space="preserve"> = 0 を 5 % 水準で棄却し、39 カ国中 28 カ国で </w:t>
      </w:r>
      <w:r>
        <w:rPr>
          <w:rFonts w:ascii="Times New Roman" w:hAnsi="Times New Roman" w:eastAsia="MS Mincho"/>
          <w:b w:val="0"/>
          <w:i/>
          <w:sz w:val="24"/>
        </w:rPr>
        <w:t>β</w:t>
      </w:r>
      <w:r>
        <w:rPr>
          <w:rFonts w:ascii="Times New Roman" w:hAnsi="Times New Roman" w:eastAsia="MS Mincho"/>
          <w:b w:val="0"/>
          <w:i w:val="0"/>
          <w:sz w:val="24"/>
        </w:rPr>
        <w:t xml:space="preserve">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空間における 95 % 領域の「形状」が国毎に強く異なるということである。R&amp;D 集約的経済（イスラエル、韓国、スウェーデン、米国）では事後分布領域は北東象限（</w:t>
      </w:r>
      <w:r>
        <w:rPr>
          <w:rFonts w:ascii="Times New Roman" w:hAnsi="Times New Roman" w:eastAsia="MS Mincho"/>
          <w:b w:val="0"/>
          <w:i/>
          <w:sz w:val="24"/>
        </w:rPr>
        <w:t>μ</w:t>
      </w:r>
      <w:r>
        <w:rPr>
          <w:rFonts w:ascii="Times New Roman" w:hAnsi="Times New Roman" w:eastAsia="MS Mincho"/>
          <w:b w:val="0"/>
          <w:i w:val="0"/>
          <w:sz w:val="24"/>
        </w:rPr>
        <w:t xml:space="preserve"> ≥ 0.3 年、</w:t>
      </w:r>
      <w:r>
        <w:rPr>
          <w:rFonts w:ascii="Times New Roman" w:hAnsi="Times New Roman" w:eastAsia="MS Mincho"/>
          <w:b w:val="0"/>
          <w:i/>
          <w:sz w:val="24"/>
        </w:rPr>
        <w:t>β</w:t>
      </w:r>
      <w:r>
        <w:rPr>
          <w:rFonts w:ascii="Times New Roman" w:hAnsi="Times New Roman" w:eastAsia="MS Mincho"/>
          <w:b w:val="0"/>
          <w:i w:val="0"/>
          <w:sz w:val="24"/>
        </w:rPr>
        <w:t xml:space="preserve"> ≥ 0.08）に多く存在し、テンポ補正と無形補正の両方が動き、かつ分離可能である。資産構成が安定した経済（メキシコ、コロンビア、トルコ、チリ）では領域は幅広な対角線状の尾根であり、尤度面は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V.5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III.5 節で定義した関係型 PIM 診断を報告する。二つの発見が際立つ。第一に、M0（即時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0）のもとでの </w:t>
      </w:r>
      <w:r>
        <w:rPr>
          <w:rFonts w:ascii="Times New Roman" w:hAnsi="Times New Roman" w:eastAsia="MS Mincho"/>
          <w:b w:val="0"/>
          <w:i/>
          <w:sz w:val="24"/>
        </w:rPr>
        <w:t>ρ</w:t>
      </w:r>
      <w:r>
        <w:rPr>
          <w:rFonts w:ascii="Times New Roman" w:hAnsi="Times New Roman" w:eastAsia="MS Mincho"/>
          <w:b w:val="0"/>
          <w:i w:val="0"/>
          <w:sz w:val="24"/>
        </w:rPr>
        <w:t>̂₂ の 39 カ国中央値は 0.801 であり、整合ベンチマーク 1.0 を大きく下回る。</w:t>
      </w:r>
      <w:r>
        <w:rPr>
          <w:rFonts w:ascii="Times New Roman" w:hAnsi="Times New Roman" w:eastAsia="MS Mincho"/>
          <w:b w:val="0"/>
          <w:i/>
          <w:sz w:val="24"/>
        </w:rPr>
        <w:t>ρ</w:t>
      </w:r>
      <w:r>
        <w:rPr>
          <w:rFonts w:ascii="Times New Roman" w:hAnsi="Times New Roman" w:eastAsia="MS Mincho"/>
          <w:b w:val="0"/>
          <w:i w:val="0"/>
          <w:sz w:val="24"/>
        </w:rPr>
        <w:t xml:space="preserve">̂₂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w:t>
      </w:r>
      <w:r>
        <w:rPr>
          <w:rFonts w:ascii="Times New Roman" w:hAnsi="Times New Roman" w:eastAsia="MS Mincho"/>
          <w:b w:val="0"/>
          <w:i/>
          <w:sz w:val="24"/>
        </w:rPr>
        <w:t>ρ</w:t>
      </w:r>
      <w:r>
        <w:rPr>
          <w:rFonts w:ascii="Times New Roman" w:hAnsi="Times New Roman" w:eastAsia="MS Mincho"/>
          <w:b w:val="0"/>
          <w:i w:val="0"/>
          <w:sz w:val="24"/>
        </w:rPr>
        <w:t>̂₂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 xml:space="preserve">図 6(b) は M4 のもとで </w:t>
      </w:r>
      <w:r>
        <w:rPr>
          <w:rFonts w:ascii="Times New Roman" w:hAnsi="Times New Roman" w:eastAsia="MS Mincho"/>
          <w:b w:val="0"/>
          <w:i/>
          <w:sz w:val="24"/>
        </w:rPr>
        <w:t>ρ</w:t>
      </w:r>
      <w:r>
        <w:rPr>
          <w:rFonts w:ascii="Times New Roman" w:hAnsi="Times New Roman" w:eastAsia="MS Mincho"/>
          <w:b w:val="0"/>
          <w:i w:val="0"/>
          <w:sz w:val="24"/>
        </w:rPr>
        <w:t xml:space="preserve">̂₁ を </w:t>
      </w:r>
      <w:r>
        <w:rPr>
          <w:rFonts w:ascii="Times New Roman" w:hAnsi="Times New Roman" w:eastAsia="MS Mincho"/>
          <w:b w:val="0"/>
          <w:i/>
          <w:sz w:val="24"/>
        </w:rPr>
        <w:t>ρ</w:t>
      </w:r>
      <w:r>
        <w:rPr>
          <w:rFonts w:ascii="Times New Roman" w:hAnsi="Times New Roman" w:eastAsia="MS Mincho"/>
          <w:b w:val="0"/>
          <w:i w:val="0"/>
          <w:sz w:val="24"/>
        </w:rPr>
        <w:t>̂₂ に対してプロットしている。(</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の参照点から遠い国――特にスイス（</w:t>
      </w:r>
      <w:r>
        <w:rPr>
          <w:rFonts w:ascii="Times New Roman" w:hAnsi="Times New Roman" w:eastAsia="MS Mincho"/>
          <w:b w:val="0"/>
          <w:i/>
          <w:sz w:val="24"/>
        </w:rPr>
        <w:t>ρ</w:t>
      </w:r>
      <w:r>
        <w:rPr>
          <w:rFonts w:ascii="Times New Roman" w:hAnsi="Times New Roman" w:eastAsia="MS Mincho"/>
          <w:b w:val="0"/>
          <w:i w:val="0"/>
          <w:sz w:val="24"/>
        </w:rPr>
        <w:t>̂₂ ≈ 0.40）、ポーランド（</w:t>
      </w:r>
      <w:r>
        <w:rPr>
          <w:rFonts w:ascii="Times New Roman" w:hAnsi="Times New Roman" w:eastAsia="MS Mincho"/>
          <w:b w:val="0"/>
          <w:i/>
          <w:sz w:val="24"/>
        </w:rPr>
        <w:t>ρ</w:t>
      </w:r>
      <w:r>
        <w:rPr>
          <w:rFonts w:ascii="Times New Roman" w:hAnsi="Times New Roman" w:eastAsia="MS Mincho"/>
          <w:b w:val="0"/>
          <w:i w:val="0"/>
          <w:sz w:val="24"/>
        </w:rPr>
        <w:t>̂₂ ≈ 0.60）、ノルウェー（</w:t>
      </w:r>
      <w:r>
        <w:rPr>
          <w:rFonts w:ascii="Times New Roman" w:hAnsi="Times New Roman" w:eastAsia="MS Mincho"/>
          <w:b w:val="0"/>
          <w:i/>
          <w:sz w:val="24"/>
        </w:rPr>
        <w:t>ρ</w:t>
      </w:r>
      <w:r>
        <w:rPr>
          <w:rFonts w:ascii="Times New Roman" w:hAnsi="Times New Roman" w:eastAsia="MS Mincho"/>
          <w:b w:val="0"/>
          <w:i w:val="0"/>
          <w:sz w:val="24"/>
        </w:rPr>
        <w:t>̂₂ ≈ 0.66）――は、PIM と CWON の資産カバレッジまたは天然資源レントの扱いが最も異なることが知られている国と一致する。したがって RPIM 診断は国別資本勘定のための単純で解釈可能な品質管理ツールとして機能する。</w:t>
      </w:r>
      <w:r>
        <w:rPr>
          <w:rFonts w:ascii="Times New Roman" w:hAnsi="Times New Roman" w:eastAsia="MS Mincho"/>
          <w:b w:val="0"/>
          <w:i/>
          <w:sz w:val="24"/>
        </w:rPr>
        <w:t>ρ</w:t>
      </w:r>
      <w:r>
        <w:rPr>
          <w:rFonts w:ascii="Times New Roman" w:hAnsi="Times New Roman" w:eastAsia="MS Mincho"/>
          <w:b w:val="0"/>
          <w:i w:val="0"/>
          <w:sz w:val="24"/>
        </w:rPr>
        <w:t>̂₂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V.6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 xml:space="preserve">Inklaar の批判（VI.5 節）は、真の減価償却率 </w:t>
      </w:r>
      <w:r>
        <w:rPr>
          <w:rFonts w:ascii="Times New Roman" w:hAnsi="Times New Roman" w:eastAsia="MS Mincho"/>
          <w:b w:val="0"/>
          <w:i/>
          <w:sz w:val="24"/>
        </w:rPr>
        <w:t>δ</w:t>
      </w:r>
      <w:r>
        <w:rPr>
          <w:rFonts w:ascii="Times New Roman" w:hAnsi="Times New Roman" w:eastAsia="MS Mincho"/>
          <w:b w:val="0"/>
          <w:i w:val="0"/>
          <w:sz w:val="24"/>
        </w:rPr>
        <w:t xml:space="preserve"> 自体がドリフトしていれば、我々が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に帰属しているものの一部が時変 </w:t>
      </w:r>
      <w:r>
        <w:rPr>
          <w:rFonts w:ascii="Times New Roman" w:hAnsi="Times New Roman" w:eastAsia="MS Mincho"/>
          <w:b w:val="0"/>
          <w:i/>
          <w:sz w:val="24"/>
        </w:rPr>
        <w:t>δ</w:t>
      </w:r>
      <w:r>
        <w:rPr>
          <w:rFonts w:ascii="Times New Roman" w:hAnsi="Times New Roman" w:eastAsia="MS Mincho"/>
          <w:b w:val="0"/>
          <w:i w:val="0"/>
          <w:sz w:val="24"/>
        </w:rPr>
        <w:t xml:space="preserve">(t) に吸収されうる可能性を提起する。我々はこれに直接対処するため、五つの減価償却シナリオ </w:t>
      </w:r>
      <w:r>
        <w:rPr>
          <w:rFonts w:ascii="Times New Roman" w:hAnsi="Times New Roman" w:eastAsia="MS Mincho"/>
          <w:b w:val="0"/>
          <w:i/>
          <w:sz w:val="24"/>
        </w:rPr>
        <w:t>δ</w:t>
      </w:r>
      <w:r>
        <w:rPr>
          <w:rFonts w:ascii="Times New Roman" w:hAnsi="Times New Roman" w:eastAsia="MS Mincho"/>
          <w:b w:val="0"/>
          <w:i w:val="0"/>
          <w:sz w:val="24"/>
        </w:rPr>
        <w:t xml:space="preserve"> × {0.80, 0.90, 1.00, 1.10, 1.20} のもとで一定ラグ </w:t>
      </w:r>
      <w:r>
        <w:rPr>
          <w:rFonts w:ascii="Times New Roman" w:hAnsi="Times New Roman" w:eastAsia="MS Mincho"/>
          <w:b w:val="0"/>
          <w:i/>
          <w:sz w:val="24"/>
        </w:rPr>
        <w:t>μ</w:t>
      </w:r>
      <w:r>
        <w:rPr>
          <w:rFonts w:ascii="Times New Roman" w:hAnsi="Times New Roman" w:eastAsia="MS Mincho"/>
          <w:b w:val="0"/>
          <w:i w:val="0"/>
          <w:sz w:val="24"/>
        </w:rPr>
        <w:t>̂（M1）を再推定した。</w:t>
      </w:r>
    </w:p>
    <w:p>
      <w:pPr>
        <w:spacing w:after="120" w:line="480" w:lineRule="auto"/>
        <w:ind w:firstLine="480"/>
      </w:pPr>
      <w:r>
        <w:rPr>
          <w:rFonts w:ascii="Times New Roman" w:hAnsi="Times New Roman" w:eastAsia="MS Mincho"/>
          <w:b w:val="0"/>
          <w:i w:val="0"/>
          <w:sz w:val="24"/>
        </w:rPr>
        <w:t xml:space="preserve">図 7 に結果を示す。主たる発見は、大半の国で </w:t>
      </w:r>
      <w:r>
        <w:rPr>
          <w:rFonts w:ascii="Times New Roman" w:hAnsi="Times New Roman" w:eastAsia="MS Mincho"/>
          <w:b w:val="0"/>
          <w:i/>
          <w:sz w:val="24"/>
        </w:rPr>
        <w:t>μ</w:t>
      </w:r>
      <w:r>
        <w:rPr>
          <w:rFonts w:ascii="Times New Roman" w:hAnsi="Times New Roman" w:eastAsia="MS Mincho"/>
          <w:b w:val="0"/>
          <w:i w:val="0"/>
          <w:sz w:val="24"/>
        </w:rPr>
        <w:t>̂ が ±20% の減価償却変動に対して著しく安定していることである。</w:t>
      </w:r>
      <w:r>
        <w:rPr>
          <w:rFonts w:ascii="Times New Roman" w:hAnsi="Times New Roman" w:eastAsia="MS Mincho"/>
          <w:b w:val="0"/>
          <w:i/>
          <w:sz w:val="24"/>
        </w:rPr>
        <w:t>μ</w:t>
      </w:r>
      <w:r>
        <w:rPr>
          <w:rFonts w:ascii="Times New Roman" w:hAnsi="Times New Roman" w:eastAsia="MS Mincho"/>
          <w:b w:val="0"/>
          <w:i w:val="0"/>
          <w:sz w:val="24"/>
        </w:rPr>
        <w:t xml:space="preserve">̂ の国間平均は </w:t>
      </w:r>
      <w:r>
        <w:rPr>
          <w:rFonts w:ascii="Times New Roman" w:hAnsi="Times New Roman" w:eastAsia="MS Mincho"/>
          <w:b w:val="0"/>
          <w:i/>
          <w:sz w:val="24"/>
        </w:rPr>
        <w:t>δ</w:t>
      </w:r>
      <w:r>
        <w:rPr>
          <w:rFonts w:ascii="Times New Roman" w:hAnsi="Times New Roman" w:eastAsia="MS Mincho"/>
          <w:b w:val="0"/>
          <w:i w:val="0"/>
          <w:sz w:val="24"/>
        </w:rPr>
        <w:t xml:space="preserve"> × 0.80 の 1.61 年から </w:t>
      </w:r>
      <w:r>
        <w:rPr>
          <w:rFonts w:ascii="Times New Roman" w:hAnsi="Times New Roman" w:eastAsia="MS Mincho"/>
          <w:b w:val="0"/>
          <w:i/>
          <w:sz w:val="24"/>
        </w:rPr>
        <w:t>δ</w:t>
      </w:r>
      <w:r>
        <w:rPr>
          <w:rFonts w:ascii="Times New Roman" w:hAnsi="Times New Roman" w:eastAsia="MS Mincho"/>
          <w:b w:val="0"/>
          <w:i w:val="0"/>
          <w:sz w:val="24"/>
        </w:rPr>
        <w:t xml:space="preserve"> × 1.20 の 1.52 年へと動くが、その差はわずか 0.09 年――ベースライン推定値の 6% 未満である。</w:t>
      </w:r>
      <w:r>
        <w:rPr>
          <w:rFonts w:ascii="Times New Roman" w:hAnsi="Times New Roman" w:eastAsia="MS Mincho"/>
          <w:b w:val="0"/>
          <w:i/>
          <w:sz w:val="24"/>
        </w:rPr>
        <w:t>μ</w:t>
      </w:r>
      <w:r>
        <w:rPr>
          <w:rFonts w:ascii="Times New Roman" w:hAnsi="Times New Roman" w:eastAsia="MS Mincho"/>
          <w:b w:val="0"/>
          <w:i w:val="0"/>
          <w:sz w:val="24"/>
        </w:rPr>
        <w:t xml:space="preserve">̂ の中央値は五つのシナリオすべてで 0.26 年とほぼ不変である。内点解の </w:t>
      </w:r>
      <w:r>
        <w:rPr>
          <w:rFonts w:ascii="Times New Roman" w:hAnsi="Times New Roman" w:eastAsia="MS Mincho"/>
          <w:b w:val="0"/>
          <w:i/>
          <w:sz w:val="24"/>
        </w:rPr>
        <w:t>μ</w:t>
      </w:r>
      <w:r>
        <w:rPr>
          <w:rFonts w:ascii="Times New Roman" w:hAnsi="Times New Roman" w:eastAsia="MS Mincho"/>
          <w:b w:val="0"/>
          <w:i w:val="0"/>
          <w:sz w:val="24"/>
        </w:rPr>
        <w:t xml:space="preserve">̂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w:t>
      </w:r>
      <w:r>
        <w:rPr>
          <w:rFonts w:ascii="Times New Roman" w:hAnsi="Times New Roman" w:eastAsia="MS Mincho"/>
          <w:b w:val="0"/>
          <w:i/>
          <w:sz w:val="24"/>
        </w:rPr>
        <w:t>δ</w:t>
      </w:r>
      <w:r>
        <w:rPr>
          <w:rFonts w:ascii="Times New Roman" w:hAnsi="Times New Roman" w:eastAsia="MS Mincho"/>
          <w:b w:val="0"/>
          <w:i w:val="0"/>
          <w:sz w:val="24"/>
        </w:rPr>
        <w:t xml:space="preserve"> 変動で </w:t>
      </w:r>
      <w:r>
        <w:rPr>
          <w:rFonts w:ascii="Times New Roman" w:hAnsi="Times New Roman" w:eastAsia="MS Mincho"/>
          <w:b w:val="0"/>
          <w:i/>
          <w:sz w:val="24"/>
        </w:rPr>
        <w:t>μ</w:t>
      </w:r>
      <w:r>
        <w:rPr>
          <w:rFonts w:ascii="Times New Roman" w:hAnsi="Times New Roman" w:eastAsia="MS Mincho"/>
          <w:b w:val="0"/>
          <w:i w:val="0"/>
          <w:sz w:val="24"/>
        </w:rPr>
        <w:t>̂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V.7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 xml:space="preserve">表 1 は M4（テンポ＋無形の同時推定）の標本外 MAPE が 4.61 % であり、M0（4.60 %）とほぼ同一であることを報告している。この見かけ上の非改善は精査に値する。サンプルの 39 カ国のうち 25 カ国は境界解の </w:t>
      </w:r>
      <w:r>
        <w:rPr>
          <w:rFonts w:ascii="Times New Roman" w:hAnsi="Times New Roman" w:eastAsia="MS Mincho"/>
          <w:b w:val="0"/>
          <w:i/>
          <w:sz w:val="24"/>
        </w:rPr>
        <w:t>μ</w:t>
      </w:r>
      <w:r>
        <w:rPr>
          <w:rFonts w:ascii="Times New Roman" w:hAnsi="Times New Roman" w:eastAsia="MS Mincho"/>
          <w:b w:val="0"/>
          <w:i w:val="0"/>
          <w:sz w:val="24"/>
        </w:rPr>
        <w:t>̂ 値を持つ――下限 0.01（実質ゼロラグ、18 カ国）または上限 6.0（7 カ国）のいずれかである。これらの国ではテンポ補正は不作動（</w:t>
      </w:r>
      <w:r>
        <w:rPr>
          <w:rFonts w:ascii="Times New Roman" w:hAnsi="Times New Roman" w:eastAsia="MS Mincho"/>
          <w:b w:val="0"/>
          <w:i/>
          <w:sz w:val="24"/>
        </w:rPr>
        <w:t>μ</w:t>
      </w:r>
      <w:r>
        <w:rPr>
          <w:rFonts w:ascii="Times New Roman" w:hAnsi="Times New Roman" w:eastAsia="MS Mincho"/>
          <w:b w:val="0"/>
          <w:i w:val="0"/>
          <w:sz w:val="24"/>
        </w:rPr>
        <w:t>̂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 xml:space="preserve">図 8 は OOS 評価を内点解の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μ</w:t>
      </w:r>
      <w:r>
        <w:rPr>
          <w:rFonts w:ascii="Times New Roman" w:hAnsi="Times New Roman" w:eastAsia="MS Mincho"/>
          <w:b w:val="0"/>
          <w:i w:val="0"/>
          <w:sz w:val="24"/>
        </w:rPr>
        <w:t>̂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V.8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V.9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w:t>
      </w:r>
      <w:r>
        <w:rPr>
          <w:rFonts w:ascii="Times New Roman" w:hAnsi="Times New Roman" w:eastAsia="MS Mincho"/>
          <w:b w:val="0"/>
          <w:i/>
          <w:sz w:val="24"/>
        </w:rPr>
        <w:t>ρ</w:t>
      </w:r>
      <w:r>
        <w:rPr>
          <w:rFonts w:ascii="Times New Roman" w:hAnsi="Times New Roman" w:eastAsia="MS Mincho"/>
          <w:b w:val="0"/>
          <w:i w:val="0"/>
          <w:sz w:val="24"/>
        </w:rPr>
        <w:t>̂₂ の国間変動が資産構成の観測可能な差異を反映しているかである。無形・R&amp;D 集約的投資のシェアが高い国は、PIM 構築が無形資産を省略していれば PIM–CWON 乖離が大きく（</w:t>
      </w:r>
      <w:r>
        <w:rPr>
          <w:rFonts w:ascii="Times New Roman" w:hAnsi="Times New Roman" w:eastAsia="MS Mincho"/>
          <w:b w:val="0"/>
          <w:i/>
          <w:sz w:val="24"/>
        </w:rPr>
        <w:t>ρ</w:t>
      </w:r>
      <w:r>
        <w:rPr>
          <w:rFonts w:ascii="Times New Roman" w:hAnsi="Times New Roman" w:eastAsia="MS Mincho"/>
          <w:b w:val="0"/>
          <w:i w:val="0"/>
          <w:sz w:val="24"/>
        </w:rPr>
        <w:t xml:space="preserve">̂₂ が低く）、M4 のテンポ・無形補正がこの乖離を首尾よく説明していれば </w:t>
      </w:r>
      <w:r>
        <w:rPr>
          <w:rFonts w:ascii="Times New Roman" w:hAnsi="Times New Roman" w:eastAsia="MS Mincho"/>
          <w:b w:val="0"/>
          <w:i/>
          <w:sz w:val="24"/>
        </w:rPr>
        <w:t>ρ</w:t>
      </w:r>
      <w:r>
        <w:rPr>
          <w:rFonts w:ascii="Times New Roman" w:hAnsi="Times New Roman" w:eastAsia="MS Mincho"/>
          <w:b w:val="0"/>
          <w:i w:val="0"/>
          <w:sz w:val="24"/>
        </w:rPr>
        <w:t>̂₂ が高くなることが期待される。</w:t>
      </w:r>
    </w:p>
    <w:p>
      <w:pPr>
        <w:spacing w:after="120" w:line="480" w:lineRule="auto"/>
        <w:ind w:firstLine="480"/>
      </w:pPr>
      <w:r>
        <w:rPr>
          <w:rFonts w:ascii="Times New Roman" w:hAnsi="Times New Roman" w:eastAsia="MS Mincho"/>
          <w:b w:val="0"/>
          <w:i w:val="0"/>
          <w:sz w:val="24"/>
        </w:rPr>
        <w:t xml:space="preserve">図 9 は </w:t>
      </w:r>
      <w:r>
        <w:rPr>
          <w:rFonts w:ascii="Times New Roman" w:hAnsi="Times New Roman" w:eastAsia="MS Mincho"/>
          <w:b w:val="0"/>
          <w:i/>
          <w:sz w:val="24"/>
        </w:rPr>
        <w:t>ρ</w:t>
      </w:r>
      <w:r>
        <w:rPr>
          <w:rFonts w:ascii="Times New Roman" w:hAnsi="Times New Roman" w:eastAsia="MS Mincho"/>
          <w:b w:val="0"/>
          <w:i w:val="0"/>
          <w:sz w:val="24"/>
        </w:rPr>
        <w:t>̂₂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w:t>
      </w:r>
      <w:r>
        <w:rPr>
          <w:rFonts w:ascii="Times New Roman" w:hAnsi="Times New Roman" w:eastAsia="MS Mincho"/>
          <w:b w:val="0"/>
          <w:i/>
          <w:sz w:val="24"/>
        </w:rPr>
        <w:t>β</w:t>
      </w:r>
      <w:r>
        <w:rPr>
          <w:rFonts w:ascii="Times New Roman" w:hAnsi="Times New Roman" w:eastAsia="MS Mincho"/>
          <w:b w:val="0"/>
          <w:i w:val="0"/>
          <w:sz w:val="24"/>
        </w:rPr>
        <w:t>）が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w:t>
      </w:r>
      <w:r>
        <w:rPr>
          <w:rFonts w:ascii="Times New Roman" w:hAnsi="Times New Roman" w:eastAsia="MS Mincho"/>
          <w:b w:val="0"/>
          <w:i/>
          <w:sz w:val="24"/>
        </w:rPr>
        <w:t>ρ</w:t>
      </w:r>
      <w:r>
        <w:rPr>
          <w:rFonts w:ascii="Times New Roman" w:hAnsi="Times New Roman" w:eastAsia="MS Mincho"/>
          <w:b w:val="0"/>
          <w:i w:val="0"/>
          <w:sz w:val="24"/>
        </w:rPr>
        <w:t xml:space="preserve">̂₂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w:t>
      </w:r>
      <w:r>
        <w:rPr>
          <w:rFonts w:ascii="Times New Roman" w:hAnsi="Times New Roman" w:eastAsia="MS Mincho"/>
          <w:b w:val="0"/>
          <w:i/>
          <w:sz w:val="24"/>
        </w:rPr>
        <w:t>ρ</w:t>
      </w:r>
      <w:r>
        <w:rPr>
          <w:rFonts w:ascii="Times New Roman" w:hAnsi="Times New Roman" w:eastAsia="MS Mincho"/>
          <w:b w:val="0"/>
          <w:i w:val="0"/>
          <w:sz w:val="24"/>
        </w:rPr>
        <w:t>̂₂ を資産クラス別に分解するという自然な拡張を示す。</w:t>
      </w:r>
    </w:p>
    <w:p>
      <w:pPr>
        <w:spacing w:before="360" w:after="120" w:line="480" w:lineRule="auto"/>
      </w:pPr>
      <w:r>
        <w:rPr>
          <w:rFonts w:ascii="Times New Roman" w:hAnsi="Times New Roman" w:eastAsia="MS Mincho"/>
          <w:b/>
          <w:i w:val="0"/>
          <w:sz w:val="24"/>
        </w:rPr>
        <w:t>V.10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48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480" w:lineRule="auto"/>
        <w:ind w:firstLine="480"/>
      </w:pPr>
      <w:r>
        <w:rPr>
          <w:rFonts w:ascii="Times New Roman" w:hAnsi="Times New Roman" w:eastAsia="MS Mincho"/>
          <w:b w:val="0"/>
          <w:i w:val="0"/>
          <w:sz w:val="24"/>
        </w:rPr>
        <w:t xml:space="preserve">M0 のもとでソロー残差は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であり、K₀ は即時 PIM ストックである。M2 のもとでは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となり、K₂ はテンポドリフト PIM ストックである。成長率分散の差――Var(</w:t>
      </w:r>
      <w:r>
        <w:rPr>
          <w:rFonts w:ascii="Times New Roman" w:hAnsi="Times New Roman" w:eastAsia="MS Mincho"/>
          <w:b w:val="0"/>
          <w:i/>
          <w:sz w:val="24"/>
        </w:rPr>
        <w:t>Δ</w:t>
      </w:r>
      <w:r>
        <w:rPr>
          <w:rFonts w:ascii="Times New Roman" w:hAnsi="Times New Roman" w:eastAsia="MS Mincho"/>
          <w:b w:val="0"/>
          <w:i w:val="0"/>
          <w:sz w:val="24"/>
        </w:rPr>
        <w:t xml:space="preserve"> log A₀) 対 Var(</w:t>
      </w:r>
      <w:r>
        <w:rPr>
          <w:rFonts w:ascii="Times New Roman" w:hAnsi="Times New Roman" w:eastAsia="MS Mincho"/>
          <w:b w:val="0"/>
          <w:i/>
          <w:sz w:val="24"/>
        </w:rPr>
        <w:t>Δ</w:t>
      </w:r>
      <w:r>
        <w:rPr>
          <w:rFonts w:ascii="Times New Roman" w:hAnsi="Times New Roman" w:eastAsia="MS Mincho"/>
          <w:b w:val="0"/>
          <w:i w:val="0"/>
          <w:sz w:val="24"/>
        </w:rPr>
        <w:t xml:space="preserve">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480" w:lineRule="auto"/>
        <w:ind w:firstLine="480"/>
      </w:pPr>
      <w:r>
        <w:rPr>
          <w:rFonts w:ascii="Times New Roman" w:hAnsi="Times New Roman" w:eastAsia="MS Mincho"/>
          <w:b w:val="0"/>
          <w:i w:val="0"/>
          <w:sz w:val="24"/>
        </w:rPr>
        <w:t xml:space="preserve">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w:t>
      </w:r>
      <w:r>
        <w:rPr>
          <w:rFonts w:ascii="Times New Roman" w:hAnsi="Times New Roman" w:eastAsia="MS Mincho"/>
          <w:b w:val="0"/>
          <w:i/>
          <w:sz w:val="24"/>
        </w:rPr>
        <w:t>β</w:t>
      </w:r>
      <w:r>
        <w:rPr>
          <w:rFonts w:ascii="Times New Roman" w:hAnsi="Times New Roman" w:eastAsia="MS Mincho"/>
          <w:b w:val="0"/>
          <w:i w:val="0"/>
          <w:sz w:val="24"/>
        </w:rPr>
        <w:t>̂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480" w:lineRule="auto"/>
      </w:pPr>
      <w:r>
        <w:rPr>
          <w:rFonts w:ascii="Times New Roman" w:hAnsi="Times New Roman" w:eastAsia="MS Mincho"/>
          <w:b/>
          <w:i w:val="0"/>
          <w:sz w:val="24"/>
        </w:rPr>
        <w:t>V.11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480" w:lineRule="auto"/>
        <w:ind w:firstLine="480"/>
      </w:pPr>
      <w:r>
        <w:rPr>
          <w:rFonts w:ascii="Times New Roman" w:hAnsi="Times New Roman" w:eastAsia="MS Mincho"/>
          <w:b w:val="0"/>
          <w:i w:val="0"/>
          <w:sz w:val="24"/>
        </w:rPr>
        <w:t xml:space="preserve">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には直接的な政策含意がある：</w:t>
      </w:r>
      <w:r>
        <w:rPr>
          <w:rFonts w:ascii="Times New Roman" w:hAnsi="Times New Roman" w:eastAsia="MS Mincho"/>
          <w:b w:val="0"/>
          <w:i/>
          <w:sz w:val="24"/>
        </w:rPr>
        <w:t>β</w:t>
      </w:r>
      <w:r>
        <w:rPr>
          <w:rFonts w:ascii="Times New Roman" w:hAnsi="Times New Roman" w:eastAsia="MS Mincho"/>
          <w:b w:val="0"/>
          <w:i w:val="0"/>
          <w:sz w:val="24"/>
        </w:rPr>
        <w:t xml:space="preserve"> が公式国富会計に含まれていれば、国民の生産資本は上方修正される。これを定量化するため、各国の 2019 年時点の反事実的生産資本を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として計算する。K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は 2019 年時点の無形/有形 PIM ストック比である。</w:t>
      </w:r>
    </w:p>
    <w:p>
      <w:pPr>
        <w:spacing w:after="120" w:line="480" w:lineRule="auto"/>
        <w:ind w:firstLine="480"/>
      </w:pPr>
      <w:r>
        <w:rPr>
          <w:rFonts w:ascii="Times New Roman" w:hAnsi="Times New Roman" w:eastAsia="MS Mincho"/>
          <w:b w:val="0"/>
          <w:i w:val="0"/>
          <w:sz w:val="24"/>
        </w:rPr>
        <w:t xml:space="preserve">図 11 は </w:t>
      </w:r>
      <w:r>
        <w:rPr>
          <w:rFonts w:ascii="Times New Roman" w:hAnsi="Times New Roman" w:eastAsia="MS Mincho"/>
          <w:b w:val="0"/>
          <w:i/>
          <w:sz w:val="24"/>
        </w:rPr>
        <w:t>β</w:t>
      </w:r>
      <w:r>
        <w:rPr>
          <w:rFonts w:ascii="Times New Roman" w:hAnsi="Times New Roman" w:eastAsia="MS Mincho"/>
          <w:b w:val="0"/>
          <w:i w:val="0"/>
          <w:sz w:val="24"/>
        </w:rPr>
        <w:t xml:space="preserve">̂ &gt; 0 の 21 カ国の結果を示す。オランダ、フランス、ノルウェーが最大の調整（0.9–1.1 %）を示し、高い </w:t>
      </w:r>
      <w:r>
        <w:rPr>
          <w:rFonts w:ascii="Times New Roman" w:hAnsi="Times New Roman" w:eastAsia="MS Mincho"/>
          <w:b w:val="0"/>
          <w:i/>
          <w:sz w:val="24"/>
        </w:rPr>
        <w:t>β</w:t>
      </w:r>
      <w:r>
        <w:rPr>
          <w:rFonts w:ascii="Times New Roman" w:hAnsi="Times New Roman" w:eastAsia="MS Mincho"/>
          <w:b w:val="0"/>
          <w:i w:val="0"/>
          <w:sz w:val="24"/>
        </w:rPr>
        <w:t>̂（0.34）と高い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48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480" w:lineRule="auto"/>
        <w:jc w:val="center"/>
      </w:pPr>
      <w:r>
        <w:rPr>
          <w:rFonts w:ascii="Times New Roman" w:hAnsi="Times New Roman" w:eastAsia="MS Mincho"/>
          <w:b/>
          <w:i w:val="0"/>
          <w:sz w:val="28"/>
        </w:rPr>
        <w:t>VI 考察</w:t>
      </w:r>
    </w:p>
    <w:p>
      <w:pPr>
        <w:spacing w:before="360" w:after="120" w:line="480" w:lineRule="auto"/>
      </w:pPr>
      <w:r>
        <w:rPr>
          <w:rFonts w:ascii="Times New Roman" w:hAnsi="Times New Roman" w:eastAsia="MS Mincho"/>
          <w:b/>
          <w:i w:val="0"/>
          <w:sz w:val="24"/>
        </w:rPr>
        <w:t>VI.1 Solow 残差の再解釈</w:t>
      </w:r>
    </w:p>
    <w:p>
      <w:pPr>
        <w:spacing w:after="120" w:line="480" w:lineRule="auto"/>
        <w:ind w:firstLine="480"/>
      </w:pPr>
      <w:r>
        <w:rPr>
          <w:rFonts w:ascii="Times New Roman" w:hAnsi="Times New Roman" w:eastAsia="MS Mincho"/>
          <w:b w:val="0"/>
          <w:i w:val="0"/>
          <w:sz w:val="24"/>
        </w:rPr>
        <w:t>V.10 節の歴史的分解は、ソロー残差が真のイノベーションと資本ストック計測誤差を混同しているという長年の疑念に数字を与える。M0（即時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w:t>
      </w:r>
      <w:r>
        <w:rPr>
          <w:rFonts w:ascii="Times New Roman" w:hAnsi="Times New Roman" w:eastAsia="MS Mincho"/>
          <w:b w:val="0"/>
          <w:i/>
          <w:sz w:val="24"/>
        </w:rPr>
        <w:t>μ</w:t>
      </w:r>
      <w:r>
        <w:rPr>
          <w:rFonts w:ascii="Times New Roman" w:hAnsi="Times New Roman" w:eastAsia="MS Mincho"/>
          <w:b w:val="0"/>
          <w:i w:val="0"/>
          <w:sz w:val="24"/>
        </w:rPr>
        <w:t xml:space="preserve">(t) と無形シェア </w:t>
      </w:r>
      <w:r>
        <w:rPr>
          <w:rFonts w:ascii="Times New Roman" w:hAnsi="Times New Roman" w:eastAsia="MS Mincho"/>
          <w:b w:val="0"/>
          <w:i/>
          <w:sz w:val="24"/>
        </w:rPr>
        <w:t>β</w:t>
      </w:r>
      <w:r>
        <w:rPr>
          <w:rFonts w:ascii="Times New Roman" w:hAnsi="Times New Roman" w:eastAsia="MS Mincho"/>
          <w:b w:val="0"/>
          <w:i w:val="0"/>
          <w:sz w:val="24"/>
        </w:rPr>
        <w:t>――に再帰着することを示した。これはイノベーションが重要でないという主張ではない。残差解釈の前に、まず会計を済ませるべきだという主張である。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VI.2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 xml:space="preserve">少なくとも最も保守的な水準では、第 V 節の結果は、我々が TFP 成長と呼んできたものの「一部分」は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w:t>
      </w:r>
      <w:r>
        <w:rPr>
          <w:rFonts w:ascii="Times New Roman" w:hAnsi="Times New Roman" w:eastAsia="MS Mincho"/>
          <w:b w:val="0"/>
          <w:i/>
          <w:sz w:val="24"/>
        </w:rPr>
        <w:t>μ</w:t>
      </w:r>
      <w:r>
        <w:rPr>
          <w:rFonts w:ascii="Times New Roman" w:hAnsi="Times New Roman" w:eastAsia="MS Mincho"/>
          <w:b w:val="0"/>
          <w:i w:val="0"/>
          <w:sz w:val="24"/>
        </w:rPr>
        <w:t xml:space="preserve">、ゼロ </w:t>
      </w:r>
      <w:r>
        <w:rPr>
          <w:rFonts w:ascii="Times New Roman" w:hAnsi="Times New Roman" w:eastAsia="MS Mincho"/>
          <w:b w:val="0"/>
          <w:i/>
          <w:sz w:val="24"/>
        </w:rPr>
        <w:t>β</w:t>
      </w:r>
      <w:r>
        <w:rPr>
          <w:rFonts w:ascii="Times New Roman" w:hAnsi="Times New Roman" w:eastAsia="MS Mincho"/>
          <w:b w:val="0"/>
          <w:i w:val="0"/>
          <w:sz w:val="24"/>
        </w:rPr>
        <w:t>）の非対称な扱いを続けるべきでないというものである。</w:t>
      </w:r>
    </w:p>
    <w:p>
      <w:pPr>
        <w:spacing w:before="360" w:after="120" w:line="480" w:lineRule="auto"/>
      </w:pPr>
      <w:r>
        <w:rPr>
          <w:rFonts w:ascii="Times New Roman" w:hAnsi="Times New Roman" w:eastAsia="MS Mincho"/>
          <w:b/>
          <w:i w:val="0"/>
          <w:sz w:val="24"/>
        </w:rPr>
        <w:t>VI.3 フロー＝ストック整合と Beyond-GDP</w:t>
      </w:r>
    </w:p>
    <w:p>
      <w:pPr>
        <w:spacing w:after="120" w:line="480" w:lineRule="auto"/>
        <w:ind w:firstLine="480"/>
      </w:pPr>
      <w:r>
        <w:rPr>
          <w:rFonts w:ascii="Times New Roman" w:hAnsi="Times New Roman" w:eastAsia="MS Mincho"/>
          <w:b w:val="0"/>
          <w:i w:val="0"/>
          <w:sz w:val="24"/>
        </w:rPr>
        <w:t xml:space="preserve">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w:t>
      </w:r>
      <w:r>
        <w:rPr>
          <w:rFonts w:ascii="Times New Roman" w:hAnsi="Times New Roman" w:eastAsia="MS Mincho"/>
          <w:b w:val="0"/>
          <w:i/>
          <w:sz w:val="24"/>
        </w:rPr>
        <w:t>μ</w:t>
      </w:r>
      <w:r>
        <w:rPr>
          <w:rFonts w:ascii="Times New Roman" w:hAnsi="Times New Roman" w:eastAsia="MS Mincho"/>
          <w:b w:val="0"/>
          <w:i w:val="0"/>
          <w:sz w:val="24"/>
        </w:rPr>
        <w:t xml:space="preserve">(t) と非ゼロ </w:t>
      </w:r>
      <w:r>
        <w:rPr>
          <w:rFonts w:ascii="Times New Roman" w:hAnsi="Times New Roman" w:eastAsia="MS Mincho"/>
          <w:b w:val="0"/>
          <w:i/>
          <w:sz w:val="24"/>
        </w:rPr>
        <w:t>β</w:t>
      </w:r>
      <w:r>
        <w:rPr>
          <w:rFonts w:ascii="Times New Roman" w:hAnsi="Times New Roman" w:eastAsia="MS Mincho"/>
          <w:b w:val="0"/>
          <w:i w:val="0"/>
          <w:sz w:val="24"/>
        </w:rPr>
        <w:t xml:space="preserve">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w:t>
      </w:r>
      <w:r>
        <w:rPr>
          <w:rFonts w:ascii="Times New Roman" w:hAnsi="Times New Roman" w:eastAsia="MS Mincho"/>
          <w:b w:val="0"/>
          <w:i/>
          <w:sz w:val="24"/>
        </w:rPr>
        <w:t>β</w:t>
      </w:r>
      <w:r>
        <w:rPr>
          <w:rFonts w:ascii="Times New Roman" w:hAnsi="Times New Roman" w:eastAsia="MS Mincho"/>
          <w:b w:val="0"/>
          <w:i w:val="0"/>
          <w:sz w:val="24"/>
        </w:rPr>
        <w:t xml:space="preserve">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w:t>
      </w:r>
      <w:r>
        <w:rPr>
          <w:rFonts w:ascii="Times New Roman" w:hAnsi="Times New Roman" w:eastAsia="MS Mincho"/>
          <w:b w:val="0"/>
          <w:i/>
          <w:sz w:val="24"/>
        </w:rPr>
        <w:t>μ</w:t>
      </w:r>
      <w:r>
        <w:rPr>
          <w:rFonts w:ascii="Times New Roman" w:hAnsi="Times New Roman" w:eastAsia="MS Mincho"/>
          <w:b w:val="0"/>
          <w:i w:val="0"/>
          <w:sz w:val="24"/>
        </w:rPr>
        <w:t xml:space="preserve"> ヘテロジニアティ、国別 </w:t>
      </w:r>
      <w:r>
        <w:rPr>
          <w:rFonts w:ascii="Times New Roman" w:hAnsi="Times New Roman" w:eastAsia="MS Mincho"/>
          <w:b w:val="0"/>
          <w:i/>
          <w:sz w:val="24"/>
        </w:rPr>
        <w:t>β</w:t>
      </w:r>
      <w:r>
        <w:rPr>
          <w:rFonts w:ascii="Times New Roman" w:hAnsi="Times New Roman" w:eastAsia="MS Mincho"/>
          <w:b w:val="0"/>
          <w:i w:val="0"/>
          <w:sz w:val="24"/>
        </w:rPr>
        <w:t xml:space="preserve"> のドリフト、そして </w:t>
      </w:r>
      <w:r>
        <w:rPr>
          <w:rFonts w:ascii="Times New Roman" w:hAnsi="Times New Roman" w:eastAsia="MS Mincho"/>
          <w:b w:val="0"/>
          <w:i/>
          <w:sz w:val="24"/>
        </w:rPr>
        <w:t>μ</w:t>
      </w:r>
      <w:r>
        <w:rPr>
          <w:rFonts w:ascii="Times New Roman" w:hAnsi="Times New Roman" w:eastAsia="MS Mincho"/>
          <w:b w:val="0"/>
          <w:i w:val="0"/>
          <w:sz w:val="24"/>
        </w:rPr>
        <w:t xml:space="preserve"> と減耗 </w:t>
      </w:r>
      <w:r>
        <w:rPr>
          <w:rFonts w:ascii="Times New Roman" w:hAnsi="Times New Roman" w:eastAsia="MS Mincho"/>
          <w:b w:val="0"/>
          <w:i/>
          <w:sz w:val="24"/>
        </w:rPr>
        <w:t>δ</w:t>
      </w:r>
      <w:r>
        <w:rPr>
          <w:rFonts w:ascii="Times New Roman" w:hAnsi="Times New Roman" w:eastAsia="MS Mincho"/>
          <w:b w:val="0"/>
          <w:i w:val="0"/>
          <w:sz w:val="24"/>
        </w:rPr>
        <w:t xml:space="preserve"> の交互項などの追加パラメータは自然な次の精綻化の層となる。</w:t>
      </w:r>
    </w:p>
    <w:p>
      <w:pPr>
        <w:spacing w:before="360" w:after="120" w:line="480" w:lineRule="auto"/>
      </w:pPr>
      <w:r>
        <w:rPr>
          <w:rFonts w:ascii="Times New Roman" w:hAnsi="Times New Roman" w:eastAsia="MS Mincho"/>
          <w:b/>
          <w:i w:val="0"/>
          <w:sz w:val="24"/>
        </w:rPr>
        <w:t>VI.4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VI.5 限界</w:t>
      </w:r>
    </w:p>
    <w:p>
      <w:pPr>
        <w:spacing w:after="120" w:line="480" w:lineRule="auto"/>
        <w:ind w:firstLine="480"/>
      </w:pPr>
      <w:r>
        <w:rPr>
          <w:rFonts w:ascii="Times New Roman" w:hAnsi="Times New Roman" w:eastAsia="MS Mincho"/>
          <w:b w:val="0"/>
          <w:i w:val="0"/>
          <w:sz w:val="24"/>
        </w:rPr>
        <w:t xml:space="preserve">三つの留保を付す。第一に、CWON に対する </w:t>
      </w:r>
      <w:r>
        <w:rPr>
          <w:rFonts w:ascii="Times New Roman" w:hAnsi="Times New Roman" w:eastAsia="MS Mincho"/>
          <w:b w:val="0"/>
          <w:i/>
          <w:sz w:val="24"/>
        </w:rPr>
        <w:t>β</w:t>
      </w:r>
      <w:r>
        <w:rPr>
          <w:rFonts w:ascii="Times New Roman" w:hAnsi="Times New Roman" w:eastAsia="MS Mincho"/>
          <w:b w:val="0"/>
          <w:i w:val="0"/>
          <w:sz w:val="24"/>
        </w:rPr>
        <w:t xml:space="preserve">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構築が取り込まない地価再評価に起因する。第二に、V.4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V.3 節の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で減耗するが、この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自体が PWT の派生推定であり、移行経済では精度が低いことが知られる（Inklaar and Timmer, 2013）。真の </w:t>
      </w:r>
      <w:r>
        <w:rPr>
          <w:rFonts w:ascii="Times New Roman" w:hAnsi="Times New Roman" w:eastAsia="MS Mincho"/>
          <w:b w:val="0"/>
          <w:i/>
          <w:sz w:val="24"/>
        </w:rPr>
        <w:t>δ</w:t>
      </w:r>
      <w:r>
        <w:rPr>
          <w:rFonts w:ascii="Times New Roman" w:hAnsi="Times New Roman" w:eastAsia="MS Mincho"/>
          <w:b w:val="0"/>
          <w:i w:val="0"/>
          <w:sz w:val="24"/>
        </w:rPr>
        <w:t xml:space="preserve"> が自体ドリフトしていれば、我々が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に帰している部分の一部は時変 </w:t>
      </w:r>
      <w:r>
        <w:rPr>
          <w:rFonts w:ascii="Times New Roman" w:hAnsi="Times New Roman" w:eastAsia="MS Mincho"/>
          <w:b w:val="0"/>
          <w:i/>
          <w:sz w:val="24"/>
        </w:rPr>
        <w:t>δ</w:t>
      </w:r>
      <w:r>
        <w:rPr>
          <w:rFonts w:ascii="Times New Roman" w:hAnsi="Times New Roman" w:eastAsia="MS Mincho"/>
          <w:b w:val="0"/>
          <w:i w:val="0"/>
          <w:sz w:val="24"/>
        </w:rPr>
        <w:t>(t) に吸収されうる。この二つのドリフトを切り分けるには、本稿の 39 カ国すべてで一様に利用可能ではない稼働率・資産除却データが必要である。</w:t>
      </w:r>
    </w:p>
    <w:p>
      <w:pPr>
        <w:spacing w:before="360" w:after="120" w:line="480" w:lineRule="auto"/>
        <w:jc w:val="center"/>
      </w:pPr>
      <w:r>
        <w:rPr>
          <w:rFonts w:ascii="Times New Roman" w:hAnsi="Times New Roman" w:eastAsia="MS Mincho"/>
          <w:b/>
          <w:i w:val="0"/>
          <w:sz w:val="28"/>
        </w:rPr>
        <w:t>VII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w:t>
      </w:r>
      <w:r>
        <w:rPr>
          <w:rFonts w:ascii="Times New Roman" w:hAnsi="Times New Roman" w:eastAsia="MS Mincho"/>
          <w:b w:val="0"/>
          <w:i/>
          <w:sz w:val="24"/>
        </w:rPr>
        <w:t>μ</w:t>
      </w:r>
      <w:r>
        <w:rPr>
          <w:rFonts w:ascii="Times New Roman" w:hAnsi="Times New Roman" w:eastAsia="MS Mincho"/>
          <w:b w:val="0"/>
          <w:i w:val="0"/>
          <w:sz w:val="24"/>
        </w:rPr>
        <w:t xml:space="preserve"> = 0、</w:t>
      </w:r>
      <w:r>
        <w:rPr>
          <w:rFonts w:ascii="Times New Roman" w:hAnsi="Times New Roman" w:eastAsia="MS Mincho"/>
          <w:b w:val="0"/>
          <w:i/>
          <w:sz w:val="24"/>
        </w:rPr>
        <w:t>β</w:t>
      </w:r>
      <w:r>
        <w:rPr>
          <w:rFonts w:ascii="Times New Roman" w:hAnsi="Times New Roman" w:eastAsia="MS Mincho"/>
          <w:b w:val="0"/>
          <w:i w:val="0"/>
          <w:sz w:val="24"/>
        </w:rPr>
        <w:t xml:space="preserve">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w:t>
      </w:r>
      <w:r>
        <w:rPr>
          <w:rFonts w:ascii="Times New Roman" w:hAnsi="Times New Roman" w:eastAsia="MS Mincho"/>
          <w:b w:val="0"/>
          <w:i/>
          <w:sz w:val="24"/>
        </w:rPr>
        <w:t>μ</w:t>
      </w:r>
      <w:r>
        <w:rPr>
          <w:rFonts w:ascii="Times New Roman" w:hAnsi="Times New Roman" w:eastAsia="MS Mincho"/>
          <w:b w:val="0"/>
          <w:i w:val="0"/>
          <w:sz w:val="24"/>
        </w:rPr>
        <w:t xml:space="preserve"> を時不変として扱うような国別資本ストック推定の改訂はいずれも暫定的なものとみなすべきである。</w:t>
      </w:r>
      <w:r>
        <w:rPr>
          <w:rFonts w:ascii="Times New Roman" w:hAnsi="Times New Roman" w:eastAsia="MS Mincho"/>
          <w:b w:val="0"/>
          <w:i/>
          <w:sz w:val="24"/>
        </w:rPr>
        <w:t>μ</w:t>
      </w:r>
      <w:r>
        <w:rPr>
          <w:rFonts w:ascii="Times New Roman" w:hAnsi="Times New Roman" w:eastAsia="MS Mincho"/>
          <w:b w:val="0"/>
          <w:i w:val="0"/>
          <w:sz w:val="24"/>
        </w:rPr>
        <w:t>(t)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値を併せて公表し、利用者が両勘定の内的整合性の有無を一目で確認できるようにすべきである。第三に、方法論的には、TFP 成長率を残差の第一候補に置き続けなければならない原理的理由は存在しない。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jc w:val="center"/>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i w:val="0"/>
          <w:sz w:val="24"/>
        </w:rPr>
        <w:t>表 1.</w:t>
      </w:r>
      <w:r>
        <w:rPr>
          <w:rFonts w:ascii="Times New Roman" w:hAnsi="Times New Roman" w:eastAsia="MS Mincho"/>
          <w:b w:val="0"/>
          <w:i w:val="0"/>
          <w:sz w:val="24"/>
        </w:rPr>
        <w:t xml:space="preserve">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i w:val="0"/>
          <w:sz w:val="24"/>
        </w:rPr>
        <w:t>表 2.</w:t>
      </w:r>
      <w:r>
        <w:rPr>
          <w:rFonts w:ascii="Times New Roman" w:hAnsi="Times New Roman" w:eastAsia="MS Mincho"/>
          <w:b w:val="0"/>
          <w:i w:val="0"/>
          <w:sz w:val="24"/>
        </w:rPr>
        <w:t xml:space="preserve">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i w:val="0"/>
          <w:sz w:val="24"/>
        </w:rPr>
        <w:t>表 3.</w:t>
      </w:r>
      <w:r>
        <w:rPr>
          <w:rFonts w:ascii="Times New Roman" w:hAnsi="Times New Roman" w:eastAsia="MS Mincho"/>
          <w:b w:val="0"/>
          <w:i w:val="0"/>
          <w:sz w:val="24"/>
        </w:rPr>
        <w:t xml:space="preserve"> 関係型PIM診断：M0, M1, M2, M4 における </w:t>
      </w:r>
      <w:r>
        <w:rPr>
          <w:rFonts w:ascii="Times New Roman" w:hAnsi="Times New Roman" w:eastAsia="MS Mincho"/>
          <w:b w:val="0"/>
          <w:i/>
          <w:sz w:val="24"/>
        </w:rPr>
        <w:t>ρ</w:t>
      </w:r>
      <w:r>
        <w:rPr>
          <w:rFonts w:ascii="Times New Roman" w:hAnsi="Times New Roman" w:eastAsia="MS Mincho"/>
          <w:b w:val="0"/>
          <w:i w:val="0"/>
          <w:sz w:val="24"/>
        </w:rPr>
        <w:t>̂₂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i w:val="0"/>
          <w:sz w:val="24"/>
        </w:rPr>
        <w:t>表 4.</w:t>
      </w:r>
      <w:r>
        <w:rPr>
          <w:rFonts w:ascii="Times New Roman" w:hAnsi="Times New Roman" w:eastAsia="MS Mincho"/>
          <w:b w:val="0"/>
          <w:i w:val="0"/>
          <w:sz w:val="24"/>
        </w:rPr>
        <w:t xml:space="preserve">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i w:val="0"/>
          <w:sz w:val="24"/>
        </w:rPr>
        <w:t>表 5.</w:t>
      </w:r>
      <w:r>
        <w:rPr>
          <w:rFonts w:ascii="Times New Roman" w:hAnsi="Times New Roman" w:eastAsia="MS Mincho"/>
          <w:b w:val="0"/>
          <w:i w:val="0"/>
          <w:sz w:val="24"/>
        </w:rPr>
        <w:t xml:space="preserve"> テンポ・アーティファクトの TFP 成長率分散シェア：M0 → M2（テンポ）および M0 → M4（統合）における Var(</w:t>
      </w:r>
      <w:r>
        <w:rPr>
          <w:rFonts w:ascii="Times New Roman" w:hAnsi="Times New Roman" w:eastAsia="MS Mincho"/>
          <w:b w:val="0"/>
          <w:i/>
          <w:sz w:val="24"/>
        </w:rPr>
        <w:t>Δ</w:t>
      </w:r>
      <w:r>
        <w:rPr>
          <w:rFonts w:ascii="Times New Roman" w:hAnsi="Times New Roman" w:eastAsia="MS Mincho"/>
          <w:b w:val="0"/>
          <w:i w:val="0"/>
          <w:sz w:val="24"/>
        </w:rPr>
        <w:t xml:space="preserve">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30, 889–920.</w:t>
      </w:r>
    </w:p>
    <w:p>
      <w:pPr>
        <w:spacing w:after="120" w:line="480" w:lineRule="auto"/>
        <w:ind w:firstLine="480"/>
      </w:pPr>
      <w:r>
        <w:rPr>
          <w:rFonts w:ascii="Times New Roman" w:hAnsi="Times New Roman" w:eastAsia="MS Mincho"/>
          <w:b w:val="0"/>
          <w:i w:val="0"/>
          <w:sz w:val="24"/>
        </w:rPr>
        <w:t xml:space="preserve">ARROW, K.J., DASGUPTA, P., GOULDER, L.H., MUMFORD, K.J. and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17, 317–353.</w:t>
      </w:r>
    </w:p>
    <w:p>
      <w:pPr>
        <w:spacing w:after="120" w:line="480" w:lineRule="auto"/>
        <w:ind w:firstLine="480"/>
      </w:pPr>
      <w:r>
        <w:rPr>
          <w:rFonts w:ascii="Times New Roman" w:hAnsi="Times New Roman" w:eastAsia="MS Mincho"/>
          <w:b w:val="0"/>
          <w:i w:val="0"/>
          <w:sz w:val="24"/>
        </w:rPr>
        <w:t xml:space="preserve">BONGAARTS, J. and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24, 271–291.</w:t>
      </w:r>
    </w:p>
    <w:p>
      <w:pPr>
        <w:spacing w:after="120" w:line="480" w:lineRule="auto"/>
        <w:ind w:firstLine="480"/>
      </w:pPr>
      <w:r>
        <w:rPr>
          <w:rFonts w:ascii="Times New Roman" w:hAnsi="Times New Roman" w:eastAsia="MS Mincho"/>
          <w:b w:val="0"/>
          <w:i w:val="0"/>
          <w:sz w:val="24"/>
        </w:rPr>
        <w:t xml:space="preserve">BONGAARTS, J. and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38, 83–120.</w:t>
      </w:r>
    </w:p>
    <w:p>
      <w:pPr>
        <w:spacing w:after="120" w:line="480" w:lineRule="auto"/>
        <w:ind w:firstLine="480"/>
      </w:pPr>
      <w:r>
        <w:rPr>
          <w:rFonts w:ascii="Times New Roman" w:hAnsi="Times New Roman" w:eastAsia="MS Mincho"/>
          <w:b w:val="0"/>
          <w:i w:val="0"/>
          <w:sz w:val="24"/>
        </w:rPr>
        <w:t xml:space="preserve">BRASS, W. (1971). On the scale of mortality. In William Brass (ed.), </w:t>
      </w:r>
      <w:r>
        <w:rPr>
          <w:rFonts w:ascii="Times New Roman" w:hAnsi="Times New Roman" w:eastAsia="MS Mincho"/>
          <w:b w:val="0"/>
          <w:i/>
          <w:sz w:val="24"/>
        </w:rPr>
        <w:t>Biological Aspects of Demography</w:t>
      </w:r>
      <w:r>
        <w:rPr>
          <w:rFonts w:ascii="Times New Roman" w:hAnsi="Times New Roman" w:eastAsia="MS Mincho"/>
          <w:b w:val="0"/>
          <w:i w:val="0"/>
          <w:sz w:val="24"/>
        </w:rPr>
        <w:t>, pp. 69–110. London: Taylor and Francis.</w:t>
      </w:r>
    </w:p>
    <w:p>
      <w:pPr>
        <w:spacing w:after="120" w:line="480" w:lineRule="auto"/>
        <w:ind w:firstLine="480"/>
      </w:pPr>
      <w:r>
        <w:rPr>
          <w:rFonts w:ascii="Times New Roman" w:hAnsi="Times New Roman" w:eastAsia="MS Mincho"/>
          <w:b w:val="0"/>
          <w:i w:val="0"/>
          <w:sz w:val="24"/>
        </w:rPr>
        <w:t xml:space="preserve">CHRISTIANO, L.J. and TODD, R.M.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20, 14–27.</w:t>
      </w:r>
    </w:p>
    <w:p>
      <w:pPr>
        <w:spacing w:after="120" w:line="480" w:lineRule="auto"/>
        <w:ind w:firstLine="480"/>
      </w:pPr>
      <w:r>
        <w:rPr>
          <w:rFonts w:ascii="Times New Roman" w:hAnsi="Times New Roman" w:eastAsia="MS Mincho"/>
          <w:b w:val="0"/>
          <w:i w:val="0"/>
          <w:sz w:val="24"/>
        </w:rPr>
        <w:t xml:space="preserve">CORRADO, C., HULTEN, C. and SICHEL, D. (2005). Measuring capital and technology: an expanded framework. In Carol Corrado, John Haltiwanger, and Daniel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pp. 11–46. Chicago: University of Chicago Press.</w:t>
      </w:r>
    </w:p>
    <w:p>
      <w:pPr>
        <w:spacing w:after="120" w:line="480" w:lineRule="auto"/>
        <w:ind w:firstLine="480"/>
      </w:pPr>
      <w:r>
        <w:rPr>
          <w:rFonts w:ascii="Times New Roman" w:hAnsi="Times New Roman" w:eastAsia="MS Mincho"/>
          <w:b w:val="0"/>
          <w:i w:val="0"/>
          <w:sz w:val="24"/>
        </w:rPr>
        <w:t xml:space="preserve">CORRADO, C., HULTEN, C. and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 xml:space="preserve">CORRADO, C., HASKEL, J., IOMMI, M. and JONA-LASINIO, C. (2020). Intangible capital, innovation and productivity à la Jorgenson: evidence from Europe and the US. In Barbara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pp. 363–385. Academic Press.</w:t>
      </w:r>
    </w:p>
    <w:p>
      <w:pPr>
        <w:spacing w:after="120" w:line="48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London: HM Treasury.</w:t>
      </w:r>
    </w:p>
    <w:p>
      <w:pPr>
        <w:spacing w:after="120" w:line="480" w:lineRule="auto"/>
        <w:ind w:firstLine="480"/>
      </w:pPr>
      <w:r>
        <w:rPr>
          <w:rFonts w:ascii="Times New Roman" w:hAnsi="Times New Roman" w:eastAsia="MS Mincho"/>
          <w:b w:val="0"/>
          <w:i w:val="0"/>
          <w:sz w:val="24"/>
        </w:rPr>
        <w:t xml:space="preserve">DE RASSENFOSSE, G. and JAFFE, A.B.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15, 1–22.</w:t>
      </w:r>
    </w:p>
    <w:p>
      <w:pPr>
        <w:spacing w:after="120" w:line="480" w:lineRule="auto"/>
        <w:ind w:firstLine="480"/>
      </w:pPr>
      <w:r>
        <w:rPr>
          <w:rFonts w:ascii="Times New Roman" w:hAnsi="Times New Roman" w:eastAsia="MS Mincho"/>
          <w:b w:val="0"/>
          <w:i w:val="0"/>
          <w:sz w:val="24"/>
        </w:rPr>
        <w:t xml:space="preserve">EDGE, R.M.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54, 1644–1669.</w:t>
      </w:r>
    </w:p>
    <w:p>
      <w:pPr>
        <w:spacing w:after="120" w:line="480" w:lineRule="auto"/>
        <w:ind w:firstLine="480"/>
      </w:pPr>
      <w:r>
        <w:rPr>
          <w:rFonts w:ascii="Times New Roman" w:hAnsi="Times New Roman" w:eastAsia="MS Mincho"/>
          <w:b w:val="0"/>
          <w:i w:val="0"/>
          <w:sz w:val="24"/>
        </w:rPr>
        <w:t xml:space="preserve">FEENSTRA, R.C., INKLAAR, R. and TIMMER, M.P.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105, 3150–3182.</w:t>
      </w:r>
    </w:p>
    <w:p>
      <w:pPr>
        <w:spacing w:after="120" w:line="480" w:lineRule="auto"/>
        <w:ind w:firstLine="480"/>
      </w:pPr>
      <w:r>
        <w:rPr>
          <w:rFonts w:ascii="Times New Roman" w:hAnsi="Times New Roman" w:eastAsia="MS Mincho"/>
          <w:b w:val="0"/>
          <w:i w:val="0"/>
          <w:sz w:val="24"/>
        </w:rPr>
        <w:t xml:space="preserve">GOLDSTEIN, J.R., LUTZ, W. and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29, 699–707.</w:t>
      </w:r>
    </w:p>
    <w:p>
      <w:pPr>
        <w:spacing w:after="120" w:line="48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34, 1324–1330.</w:t>
      </w:r>
    </w:p>
    <w:p>
      <w:pPr>
        <w:spacing w:after="120" w:line="480" w:lineRule="auto"/>
        <w:ind w:firstLine="480"/>
      </w:pPr>
      <w:r>
        <w:rPr>
          <w:rFonts w:ascii="Times New Roman" w:hAnsi="Times New Roman" w:eastAsia="MS Mincho"/>
          <w:b w:val="0"/>
          <w:i w:val="0"/>
          <w:sz w:val="24"/>
        </w:rPr>
        <w:t xml:space="preserve">HAMANO, M. and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46, 17–29.</w:t>
      </w:r>
    </w:p>
    <w:p>
      <w:pPr>
        <w:spacing w:after="120" w:line="480" w:lineRule="auto"/>
        <w:ind w:firstLine="480"/>
      </w:pPr>
      <w:r>
        <w:rPr>
          <w:rFonts w:ascii="Times New Roman" w:hAnsi="Times New Roman" w:eastAsia="MS Mincho"/>
          <w:b w:val="0"/>
          <w:i w:val="0"/>
          <w:sz w:val="24"/>
        </w:rPr>
        <w:t xml:space="preserve">HASKEL, J. and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Princeton University Press.</w:t>
      </w:r>
    </w:p>
    <w:p>
      <w:pPr>
        <w:spacing w:after="120" w:line="480" w:lineRule="auto"/>
        <w:ind w:firstLine="480"/>
      </w:pPr>
      <w:r>
        <w:rPr>
          <w:rFonts w:ascii="Times New Roman" w:hAnsi="Times New Roman" w:eastAsia="MS Mincho"/>
          <w:b w:val="0"/>
          <w:i w:val="0"/>
          <w:sz w:val="24"/>
        </w:rPr>
        <w:t xml:space="preserve">HASKEL, J. and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Princeton University Press.</w:t>
      </w:r>
    </w:p>
    <w:p>
      <w:pPr>
        <w:spacing w:after="120" w:line="480" w:lineRule="auto"/>
        <w:ind w:firstLine="480"/>
      </w:pPr>
      <w:r>
        <w:rPr>
          <w:rFonts w:ascii="Times New Roman" w:hAnsi="Times New Roman" w:eastAsia="MS Mincho"/>
          <w:b w:val="0"/>
          <w:i w:val="0"/>
          <w:sz w:val="24"/>
        </w:rPr>
        <w:t xml:space="preserve">HULTEN, C.R.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 xml:space="preserve">JORGENSON, D.W. and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34, 249–283.</w:t>
      </w:r>
    </w:p>
    <w:p>
      <w:pPr>
        <w:spacing w:after="120" w:line="480" w:lineRule="auto"/>
        <w:ind w:firstLine="480"/>
      </w:pPr>
      <w:r>
        <w:rPr>
          <w:rFonts w:ascii="Times New Roman" w:hAnsi="Times New Roman" w:eastAsia="MS Mincho"/>
          <w:b w:val="0"/>
          <w:i w:val="0"/>
          <w:sz w:val="24"/>
        </w:rPr>
        <w:t xml:space="preserve">JORGENSON, D.W.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56, 867–919.</w:t>
      </w:r>
    </w:p>
    <w:p>
      <w:pPr>
        <w:spacing w:after="120" w:line="480" w:lineRule="auto"/>
        <w:ind w:firstLine="480"/>
      </w:pPr>
      <w:r>
        <w:rPr>
          <w:rFonts w:ascii="Times New Roman" w:hAnsi="Times New Roman" w:eastAsia="MS Mincho"/>
          <w:b w:val="0"/>
          <w:i w:val="0"/>
          <w:sz w:val="24"/>
        </w:rPr>
        <w:t xml:space="preserve">JORGENSON, D.W., HO, M.S. and STIROH, K.J.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Cambridge, MA: MIT Press.</w:t>
      </w:r>
    </w:p>
    <w:p>
      <w:pPr>
        <w:spacing w:after="120" w:line="480" w:lineRule="auto"/>
        <w:ind w:firstLine="480"/>
      </w:pPr>
      <w:r>
        <w:rPr>
          <w:rFonts w:ascii="Times New Roman" w:hAnsi="Times New Roman" w:eastAsia="MS Mincho"/>
          <w:b w:val="0"/>
          <w:i w:val="0"/>
          <w:sz w:val="24"/>
        </w:rPr>
        <w:t xml:space="preserve">KABOSKI, J.P.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 xml:space="preserve">KOHLER, H.-P., BILLARI, F.C. and ORTEGA, J.A.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28, 641–680.</w:t>
      </w:r>
    </w:p>
    <w:p>
      <w:pPr>
        <w:spacing w:after="120" w:line="480" w:lineRule="auto"/>
        <w:ind w:firstLine="480"/>
      </w:pPr>
      <w:r>
        <w:rPr>
          <w:rFonts w:ascii="Times New Roman" w:hAnsi="Times New Roman" w:eastAsia="MS Mincho"/>
          <w:b w:val="0"/>
          <w:i w:val="0"/>
          <w:sz w:val="24"/>
        </w:rPr>
        <w:t xml:space="preserve">KYDLAND, F.E. and PRESCOTT, E.C.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50, 1345–1370.</w:t>
      </w:r>
    </w:p>
    <w:p>
      <w:pPr>
        <w:spacing w:after="120" w:line="480" w:lineRule="auto"/>
        <w:ind w:firstLine="480"/>
      </w:pPr>
      <w:r>
        <w:rPr>
          <w:rFonts w:ascii="Times New Roman" w:hAnsi="Times New Roman" w:eastAsia="MS Mincho"/>
          <w:b w:val="0"/>
          <w:i w:val="0"/>
          <w:sz w:val="24"/>
        </w:rPr>
        <w:t xml:space="preserve">LANGE, G.-M., WODON, Q. and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Washington, DC: World Bank.</w:t>
      </w:r>
    </w:p>
    <w:p>
      <w:pPr>
        <w:spacing w:after="120" w:line="480" w:lineRule="auto"/>
        <w:ind w:firstLine="480"/>
      </w:pPr>
      <w:r>
        <w:rPr>
          <w:rFonts w:ascii="Times New Roman" w:hAnsi="Times New Roman" w:eastAsia="MS Mincho"/>
          <w:b w:val="0"/>
          <w:i w:val="0"/>
          <w:sz w:val="24"/>
        </w:rPr>
        <w:t xml:space="preserve">MANAGI, S. and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London: Routledge.</w:t>
      </w:r>
    </w:p>
    <w:p>
      <w:pPr>
        <w:spacing w:after="120" w:line="48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Paris: OECD Publishing.</w:t>
      </w:r>
    </w:p>
    <w:p>
      <w:pPr>
        <w:spacing w:after="120" w:line="48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13.</w:t>
      </w:r>
    </w:p>
    <w:p>
      <w:pPr>
        <w:spacing w:after="120" w:line="480" w:lineRule="auto"/>
        <w:ind w:firstLine="480"/>
      </w:pPr>
      <w:r>
        <w:rPr>
          <w:rFonts w:ascii="Times New Roman" w:hAnsi="Times New Roman" w:eastAsia="MS Mincho"/>
          <w:b w:val="0"/>
          <w:i w:val="0"/>
          <w:sz w:val="24"/>
        </w:rPr>
        <w:t xml:space="preserve">SALOMON, J.A., WANG, H., FREEMAN, M.K., VOS, T., FLAXMAN, A.D., LOPEZ, A.D. and MURRAY, C.J.L.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380, 2144–2162.</w:t>
      </w:r>
    </w:p>
    <w:p>
      <w:pPr>
        <w:spacing w:after="120" w:line="480" w:lineRule="auto"/>
        <w:ind w:firstLine="480"/>
      </w:pPr>
      <w:r>
        <w:rPr>
          <w:rFonts w:ascii="Times New Roman" w:hAnsi="Times New Roman" w:eastAsia="MS Mincho"/>
          <w:b w:val="0"/>
          <w:i w:val="0"/>
          <w:sz w:val="24"/>
        </w:rPr>
        <w:t xml:space="preserve">SMETS, F. and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97, 586–606.</w:t>
      </w:r>
    </w:p>
    <w:p>
      <w:pPr>
        <w:spacing w:after="120" w:line="480" w:lineRule="auto"/>
        <w:ind w:firstLine="480"/>
      </w:pPr>
      <w:r>
        <w:rPr>
          <w:rFonts w:ascii="Times New Roman" w:hAnsi="Times New Roman" w:eastAsia="MS Mincho"/>
          <w:b w:val="0"/>
          <w:i w:val="0"/>
          <w:sz w:val="24"/>
        </w:rPr>
        <w:t xml:space="preserve">SOLOW, R.M.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39, 312–320.</w:t>
      </w:r>
    </w:p>
    <w:p>
      <w:pPr>
        <w:spacing w:after="120" w:line="480" w:lineRule="auto"/>
        <w:ind w:firstLine="480"/>
      </w:pPr>
      <w:r>
        <w:rPr>
          <w:rFonts w:ascii="Times New Roman" w:hAnsi="Times New Roman" w:eastAsia="MS Mincho"/>
          <w:b w:val="0"/>
          <w:i w:val="0"/>
          <w:sz w:val="24"/>
        </w:rPr>
        <w:t xml:space="preserve">STIGLITZ, J.E., SEN, A. and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Paris.</w:t>
      </w:r>
    </w:p>
    <w:p>
      <w:pPr>
        <w:spacing w:after="120" w:line="48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