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120" w:line="480" w:lineRule="auto"/>
        <w:jc w:val="center"/>
      </w:pPr>
      <w:r>
        <w:rPr>
          <w:rFonts w:ascii="Times New Roman" w:hAnsi="Times New Roman" w:eastAsia="MS Mincho"/>
          <w:b/>
          <w:i w:val="0"/>
          <w:sz w:val="28"/>
        </w:rPr>
        <w:t>TABLE 2. POPULATION-CAPITAL TEMPO CORRESPONDENCE.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left w:val="none" w:sz="0" w:space="0" w:color="auto"/>
          <w:right w:val="none" w:sz="0" w:space="0" w:color="auto"/>
          <w:insideV w:val="none" w:sz="0" w:space="0" w:color="auto"/>
          <w:top w:val="single" w:sz="4" w:space="0" w:color="000000"/>
          <w:bottom w:val="single" w:sz="4" w:space="0" w:color="000000"/>
          <w:insideH w:val="single" w:sz="4" w:space="0" w:color="000000"/>
        </w:tblBorders>
      </w:tblPr>
      <w:tblGrid>
        <w:gridCol w:w="2880"/>
        <w:gridCol w:w="2880"/>
        <w:gridCol w:w="2880"/>
      </w:tblGrid>
      <w:tr>
        <w:tc>
          <w:tcPr>
            <w:tcW w:type="dxa" w:w="1872"/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Concept</w:t>
            </w:r>
          </w:p>
        </w:tc>
        <w:tc>
          <w:tcPr>
            <w:tcW w:type="dxa" w:w="3600"/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Population (Bongaarts-Feeney, 1998)</w:t>
            </w:r>
          </w:p>
        </w:tc>
        <w:tc>
          <w:tcPr>
            <w:tcW w:type="dxa" w:w="3600"/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Capital (this paper)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Flow</w:t>
            </w:r>
          </w:p>
        </w:tc>
        <w:tc>
          <w:tcPr>
            <w:tcW w:type="dxa" w:w="360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Births B(t)</w:t>
            </w:r>
          </w:p>
        </w:tc>
        <w:tc>
          <w:tcPr>
            <w:tcW w:type="dxa" w:w="360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Investment I(t)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Stock</w:t>
            </w:r>
          </w:p>
        </w:tc>
        <w:tc>
          <w:tcPr>
            <w:tcW w:type="dxa" w:w="360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Population N(t)</w:t>
            </w:r>
          </w:p>
        </w:tc>
        <w:tc>
          <w:tcPr>
            <w:tcW w:type="dxa" w:w="360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Reproducible capital W(t)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Quantum</w:t>
            </w:r>
          </w:p>
        </w:tc>
        <w:tc>
          <w:tcPr>
            <w:tcW w:type="dxa" w:w="360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Total Fertility Rate TFR</w:t>
            </w:r>
          </w:p>
        </w:tc>
        <w:tc>
          <w:tcPr>
            <w:tcW w:type="dxa" w:w="360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Investment rate I/Y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Tempo</w:t>
            </w:r>
          </w:p>
        </w:tc>
        <w:tc>
          <w:tcPr>
            <w:tcW w:type="dxa" w:w="360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Mean age at childbearing MAC(t)</w:t>
            </w:r>
          </w:p>
        </w:tc>
        <w:tc>
          <w:tcPr>
            <w:tcW w:type="dxa" w:w="360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 xml:space="preserve">Time-to-build </w:t>
            </w:r>
            <w:r>
              <w:rPr>
                <w:rFonts w:ascii="Times New Roman" w:hAnsi="Times New Roman" w:eastAsia="MS Mincho"/>
                <w:b w:val="0"/>
                <w:i/>
                <w:sz w:val="20"/>
              </w:rPr>
              <w:t>μ</w:t>
            </w:r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(t)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Bongaarts-Feeney adjustment</w:t>
            </w:r>
          </w:p>
        </w:tc>
        <w:tc>
          <w:tcPr>
            <w:tcW w:type="dxa" w:w="360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TFR* = TFR/(1 − r(t))</w:t>
            </w:r>
          </w:p>
        </w:tc>
        <w:tc>
          <w:tcPr>
            <w:tcW w:type="dxa" w:w="360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 xml:space="preserve">K*(t) via </w:t>
            </w:r>
            <w:r>
              <w:rPr>
                <w:rFonts w:ascii="Times New Roman" w:hAnsi="Times New Roman" w:eastAsia="MS Mincho"/>
                <w:b w:val="0"/>
                <w:i/>
                <w:sz w:val="20"/>
              </w:rPr>
              <w:t>μ</w:t>
            </w:r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(t)-weighted PIM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Forgotten parameter</w:t>
            </w:r>
          </w:p>
        </w:tc>
        <w:tc>
          <w:tcPr>
            <w:tcW w:type="dxa" w:w="360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 xml:space="preserve">Parity-specific </w:t>
            </w:r>
            <w:r>
              <w:rPr>
                <w:rFonts w:ascii="Times New Roman" w:hAnsi="Times New Roman" w:eastAsia="MS Mincho"/>
                <w:b w:val="0"/>
                <w:i/>
                <w:sz w:val="20"/>
              </w:rPr>
              <w:t>σ</w:t>
            </w:r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 xml:space="preserve"> (Goldstein-Lutz-Scherbov, 2003)</w:t>
            </w:r>
          </w:p>
        </w:tc>
        <w:tc>
          <w:tcPr>
            <w:tcW w:type="dxa" w:w="360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 xml:space="preserve">Intangible share </w:t>
            </w:r>
            <w:r>
              <w:rPr>
                <w:rFonts w:ascii="Times New Roman" w:hAnsi="Times New Roman" w:eastAsia="MS Mincho"/>
                <w:b w:val="0"/>
                <w:i/>
                <w:sz w:val="20"/>
              </w:rPr>
              <w:t>β</w:t>
            </w:r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 xml:space="preserve"> (Corrado-Hulten-Sichel, 2009)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Book-keeping identity</w:t>
            </w:r>
          </w:p>
        </w:tc>
        <w:tc>
          <w:tcPr>
            <w:tcW w:type="dxa" w:w="360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dN/dt = B − d·N</w:t>
            </w:r>
          </w:p>
        </w:tc>
        <w:tc>
          <w:tcPr>
            <w:tcW w:type="dxa" w:w="360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 xml:space="preserve">dW/dt = I − </w:t>
            </w:r>
            <w:r>
              <w:rPr>
                <w:rFonts w:ascii="Times New Roman" w:hAnsi="Times New Roman" w:eastAsia="MS Mincho"/>
                <w:b w:val="0"/>
                <w:i/>
                <w:sz w:val="20"/>
              </w:rPr>
              <w:t>δ</w:t>
            </w:r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W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Joint identification</w:t>
            </w:r>
          </w:p>
        </w:tc>
        <w:tc>
          <w:tcPr>
            <w:tcW w:type="dxa" w:w="360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TFR* vs. life-table consistency</w:t>
            </w:r>
          </w:p>
        </w:tc>
        <w:tc>
          <w:tcPr>
            <w:tcW w:type="dxa" w:w="360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PIM vs. CWON consistency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