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and operations research for healthcare decisions. Our study treats specialty physician workforce planning as a healthcare resource-allocation problem and uses the litigation-workforce question as a test case for a transparent, reproducible decision-analytics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 We also include a counterfactual policy-lever simulation that projects 2034 physician counts under stylised litigation-reduction and structural-incentive scenarios, making the practical decision implications of the regression results explicit.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