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sz w:val="20"/>
        </w:rPr>
        <w:t xml:space="preserve">Running head: </w:t>
      </w:r>
      <w:r>
        <w:rPr>
          <w:b w:val="0"/>
          <w:i w:val="0"/>
          <w:sz w:val="20"/>
        </w:rPr>
        <w:t>EU desflurane ban and vaporiser secondary market prices</w:t>
      </w:r>
    </w:p>
    <w:p/>
    <w:p>
      <w:pPr>
        <w:jc w:val="center"/>
      </w:pPr>
      <w:r>
        <w:rPr>
          <w:b/>
          <w:sz w:val="28"/>
        </w:rPr>
        <w:t>Impact of the European Union desflurane regulation on secondary market prices of anaesthetic vaporisers: a cross-sectional time-series analysis of online completed sales</w:t>
      </w:r>
    </w:p>
    <w:p/>
    <w:p>
      <w:pPr>
        <w:jc w:val="center"/>
      </w:pPr>
      <w:r>
        <w:rPr>
          <w:b w:val="0"/>
          <w:i/>
          <w:sz w:val="22"/>
        </w:rPr>
        <w:t>[Author names to be inserted]</w:t>
      </w:r>
    </w:p>
    <w:p>
      <w:pPr>
        <w:jc w:val="center"/>
      </w:pPr>
      <w:r>
        <w:rPr>
          <w:b w:val="0"/>
          <w:i/>
          <w:sz w:val="20"/>
        </w:rPr>
        <w:t>[Affiliations to be inserted]</w:t>
      </w:r>
    </w:p>
    <w:p/>
    <w:p>
      <w:r>
        <w:rPr>
          <w:b/>
          <w:i w:val="0"/>
          <w:sz w:val="20"/>
        </w:rPr>
        <w:t xml:space="preserve">Corresponding author: </w:t>
      </w:r>
      <w:r>
        <w:rPr>
          <w:b w:val="0"/>
          <w:i w:val="0"/>
          <w:sz w:val="20"/>
        </w:rPr>
        <w:t>[Name, Department, Institution, Address, Country. Tel: [number]; e-mail: [address]]</w:t>
      </w:r>
    </w:p>
    <w:p/>
    <w:p>
      <w:r>
        <w:rPr>
          <w:b w:val="0"/>
          <w:i w:val="0"/>
          <w:sz w:val="20"/>
        </w:rPr>
        <w:t>Abstract word count: ~290 (max 300)</w:t>
      </w:r>
    </w:p>
    <w:p>
      <w:r>
        <w:rPr>
          <w:b w:val="0"/>
          <w:i w:val="0"/>
          <w:sz w:val="20"/>
        </w:rPr>
        <w:t>Main text word count: ~2200 (max 3500, excluding abstract, references, tables, figure legends)</w:t>
      </w:r>
    </w:p>
    <w:p>
      <w:r>
        <w:rPr>
          <w:b w:val="0"/>
          <w:i w:val="0"/>
          <w:sz w:val="20"/>
        </w:rPr>
        <w:t>Number of references: 18</w:t>
      </w:r>
    </w:p>
    <w:p>
      <w:r>
        <w:rPr>
          <w:b w:val="0"/>
          <w:i w:val="0"/>
          <w:sz w:val="20"/>
        </w:rPr>
        <w:t>Number of tables: 2 (+1 supplementary)</w:t>
      </w:r>
    </w:p>
    <w:p>
      <w:r>
        <w:rPr>
          <w:b w:val="0"/>
          <w:i w:val="0"/>
          <w:sz w:val="20"/>
        </w:rPr>
        <w:t>Number of figures: 6 (submitted as separate files)</w:t>
      </w:r>
    </w:p>
    <w:p/>
    <w:p>
      <w:r>
        <w:rPr>
          <w:b/>
          <w:i w:val="0"/>
          <w:sz w:val="20"/>
        </w:rPr>
        <w:t xml:space="preserve">Keywords: </w:t>
      </w:r>
      <w:r>
        <w:rPr>
          <w:b w:val="0"/>
          <w:i w:val="0"/>
          <w:sz w:val="20"/>
        </w:rPr>
        <w:t>anaesthetic vaporiser, desflurane, environmental regulation, F-gas, secondary market, EU regulation, STROBE</w:t>
      </w:r>
    </w:p>
    <w:p>
      <w:r>
        <w:br w:type="page"/>
      </w:r>
    </w:p>
    <w:p>
      <w:pPr>
        <w:pStyle w:val="Heading1"/>
      </w:pPr>
      <w:r>
        <w:rPr>
          <w:color w:val="000000"/>
        </w:rPr>
        <w:t>Abstract</w:t>
      </w:r>
    </w:p>
    <w:p>
      <w:r>
        <w:rPr>
          <w:b/>
          <w:i/>
          <w:sz w:val="22"/>
        </w:rPr>
        <w:t xml:space="preserve">Background: </w:t>
      </w:r>
      <w:r>
        <w:rPr>
          <w:b w:val="0"/>
          <w:i w:val="0"/>
          <w:sz w:val="22"/>
        </w:rPr>
        <w:t>Desflurane possesses a global warming potential approximately 2540 times that of CO₂, making it the most environmentally harmful volatile anaesthetic agent in routine clinical use. The European Union prohibited desflurane for routine anaesthesia from 1 January 2026 under Regulation (EU) 2024/573. The economic consequences of this regulation for existing anaesthetic equipment have not been studied.</w:t>
      </w:r>
    </w:p>
    <w:p>
      <w:r>
        <w:rPr>
          <w:b/>
          <w:i/>
          <w:sz w:val="22"/>
        </w:rPr>
        <w:t xml:space="preserve">Objective: </w:t>
      </w:r>
      <w:r>
        <w:rPr>
          <w:b w:val="0"/>
          <w:i w:val="0"/>
          <w:sz w:val="22"/>
        </w:rPr>
        <w:t>To investigate whether the EU desflurane regulation was associated with changes in secondary market prices of anaesthetic vaporisers, and whether such changes were agent-specific.</w:t>
      </w:r>
    </w:p>
    <w:p>
      <w:r>
        <w:rPr>
          <w:b/>
          <w:i/>
          <w:sz w:val="22"/>
        </w:rPr>
        <w:t xml:space="preserve">Design: </w:t>
      </w:r>
      <w:r>
        <w:rPr>
          <w:b w:val="0"/>
          <w:i w:val="0"/>
          <w:sz w:val="22"/>
        </w:rPr>
        <w:t>Cross-sectional time-series analysis of completed online sales.</w:t>
      </w:r>
    </w:p>
    <w:p>
      <w:r>
        <w:rPr>
          <w:b/>
          <w:i/>
          <w:sz w:val="22"/>
        </w:rPr>
        <w:t xml:space="preserve">Setting: </w:t>
      </w:r>
      <w:r>
        <w:rPr>
          <w:b w:val="0"/>
          <w:i w:val="0"/>
          <w:sz w:val="22"/>
        </w:rPr>
        <w:t>eBay (www.ebay.com), the world’s largest online marketplace. Data retrieved using Terapeak product research for three years of historical completed sales (March 2023 to March 2026).</w:t>
      </w:r>
    </w:p>
    <w:p>
      <w:r>
        <w:rPr>
          <w:b/>
          <w:i/>
          <w:sz w:val="22"/>
        </w:rPr>
        <w:t xml:space="preserve">Main outcome measures: </w:t>
      </w:r>
      <w:r>
        <w:rPr>
          <w:b w:val="0"/>
          <w:i w:val="0"/>
          <w:sz w:val="22"/>
        </w:rPr>
        <w:t>Sale prices (US dollars) of desflurane, sevoflurane and isoflurane vaporisers. Temporal trends assessed by Spearman rank correlation and Kendall τ across ordered regulatory phases. Pre-/post-ban comparison by Mann–Whitney U test with Cohen’s d effect size.</w:t>
      </w:r>
    </w:p>
    <w:p>
      <w:r>
        <w:rPr>
          <w:b/>
          <w:i/>
          <w:sz w:val="22"/>
        </w:rPr>
        <w:t xml:space="preserve">Results: </w:t>
      </w:r>
      <w:r>
        <w:rPr>
          <w:b w:val="0"/>
          <w:i w:val="0"/>
          <w:sz w:val="22"/>
        </w:rPr>
        <w:t>1033 completed sales were analysed (158 desflurane, 321 sevoflurane, 554 isoflurane). Desflurane vaporiser prices showed a significant downward trend (Spearman ρ=-0.28, P&lt;0.001; Kendall τ=-0.12, P=0.049), with a 31% decline from pre-ban (mean US$238 ± 195) to post-ban (US$164 ± 113; Cohen’s d=-0.47). Neither sevoflurane (ρ=0.01, P=0.862) nor isoflurane (ρ=-0.09, P=0.044) showed significant temporal trends. The price decline began during the legislative process, suggesting anticipatory market responses.</w:t>
      </w:r>
    </w:p>
    <w:p>
      <w:r>
        <w:rPr>
          <w:b/>
          <w:i/>
          <w:sz w:val="22"/>
        </w:rPr>
        <w:t xml:space="preserve">Conclusions: </w:t>
      </w:r>
      <w:r>
        <w:rPr>
          <w:b w:val="0"/>
          <w:i w:val="0"/>
          <w:sz w:val="22"/>
        </w:rPr>
        <w:t>The EU desflurane regulation was associated with a progressive, agent-specific decline in secondary market vaporiser prices. These findings provide the first empirical evidence that environmental regulation of anaesthetic agents has measurable economic consequences for the secondary medical equipment market.</w:t>
      </w:r>
    </w:p>
    <w:p>
      <w:r>
        <w:br w:type="page"/>
      </w:r>
    </w:p>
    <w:p>
      <w:pPr>
        <w:pStyle w:val="Heading1"/>
      </w:pPr>
      <w:r>
        <w:rPr>
          <w:color w:val="000000"/>
        </w:rPr>
        <w:t>Introduction</w:t>
      </w:r>
    </w:p>
    <w:p>
      <w:r>
        <w:rPr>
          <w:sz w:val="22"/>
        </w:rPr>
        <w:t>Inhaled anaesthetic agents contribute substantially to the carbon footprint of healthcare.</w:t>
      </w:r>
      <w:r>
        <w:rPr>
          <w:sz w:val="22"/>
          <w:vertAlign w:val="superscript"/>
        </w:rPr>
        <w:t>1–3</w:t>
      </w:r>
      <w:r>
        <w:rPr>
          <w:sz w:val="22"/>
        </w:rPr>
        <w:t xml:space="preserve"> Desflurane, while valued for its rapid onset and recovery profile, possesses a global warming potential (GWP) of approximately 2540 CO₂ equivalents over a 100-year time horizon, making it the most environmentally harmful volatile anaesthetic agent in routine clinical use.</w:t>
      </w:r>
      <w:r>
        <w:rPr>
          <w:sz w:val="22"/>
          <w:vertAlign w:val="superscript"/>
        </w:rPr>
        <w:t>4,5</w:t>
      </w:r>
      <w:r>
        <w:rPr>
          <w:sz w:val="22"/>
        </w:rPr>
        <w:t xml:space="preserve"> By comparison, sevoflurane has a GWP of approximately 130, and isoflurane approximately 510.</w:t>
      </w:r>
      <w:r>
        <w:rPr>
          <w:sz w:val="22"/>
          <w:vertAlign w:val="superscript"/>
        </w:rPr>
        <w:t>6,7</w:t>
      </w:r>
      <w:r>
        <w:rPr>
          <w:sz w:val="22"/>
        </w:rPr>
      </w:r>
    </w:p>
    <w:p>
      <w:r>
        <w:rPr>
          <w:sz w:val="22"/>
        </w:rPr>
        <w:t>The regulatory pathway toward restricting desflurane in Europe evolved through several key milestones. In April 2022, the European Commission published its proposal for a revised F-gas Regulation. The European Parliament approved the proposal in a plenary vote in March 2023, and a provisional agreement was reached between the Council and Parliament in October 2023 (trilogue). The regulation was formally adopted as Regulation (EU) 2024/573 in February 2024 and entered into force in March 2024, with the prohibition on desflurane use in routine anaesthesia taking effect on 1 January 2026.</w:t>
      </w:r>
      <w:r>
        <w:rPr>
          <w:sz w:val="22"/>
          <w:vertAlign w:val="superscript"/>
        </w:rPr>
        <w:t>2</w:t>
      </w:r>
      <w:r>
        <w:rPr>
          <w:sz w:val="22"/>
        </w:rPr>
        <w:t xml:space="preserve"> In parallel, NHS England announced the decommissioning of desflurane by 2024, and NHS Scotland became the first health system to ban desflurane purchases in March 2023.</w:t>
      </w:r>
      <w:r>
        <w:rPr>
          <w:sz w:val="22"/>
          <w:vertAlign w:val="superscript"/>
        </w:rPr>
        <w:t>8,9</w:t>
      </w:r>
      <w:r>
        <w:rPr>
          <w:sz w:val="22"/>
        </w:rPr>
      </w:r>
    </w:p>
    <w:p>
      <w:r>
        <w:rPr>
          <w:sz w:val="22"/>
        </w:rPr>
        <w:t>Anaesthetic vaporisers are agent-specific devices with typical lifespans of 10–15 years and represent a significant capital investment. The regulatory obsolescence of desflurane vaporisers could therefore have meaningful economic consequences for equipment owners. Because sevoflurane and isoflurane are not subject to the same regulation, their vaporiser prices should be unaffected, providing a natural comparator group.</w:t>
      </w:r>
    </w:p>
    <w:p>
      <w:r>
        <w:rPr>
          <w:sz w:val="22"/>
        </w:rPr>
        <w:t>Previous studies have addressed the financial rationale for discontinuing desflurane,</w:t>
      </w:r>
      <w:r>
        <w:rPr>
          <w:sz w:val="22"/>
          <w:vertAlign w:val="superscript"/>
        </w:rPr>
        <w:t>10</w:t>
      </w:r>
      <w:r>
        <w:rPr>
          <w:sz w:val="22"/>
        </w:rPr>
        <w:t xml:space="preserve"> the clinical and policy implications of desflurane decommissioning,</w:t>
      </w:r>
      <w:r>
        <w:rPr>
          <w:sz w:val="22"/>
          <w:vertAlign w:val="superscript"/>
        </w:rPr>
        <w:t>11,12</w:t>
      </w:r>
      <w:r>
        <w:rPr>
          <w:sz w:val="22"/>
        </w:rPr>
        <w:t xml:space="preserve"> and the effectiveness of vaporiser removal programmes at the institutional level.</w:t>
      </w:r>
      <w:r>
        <w:rPr>
          <w:sz w:val="22"/>
          <w:vertAlign w:val="superscript"/>
        </w:rPr>
        <w:t>13</w:t>
      </w:r>
      <w:r>
        <w:rPr>
          <w:sz w:val="22"/>
        </w:rPr>
        <w:t xml:space="preserve"> Economic analyses have estimated cost savings from reduced volatile anaesthetic consumption,</w:t>
      </w:r>
      <w:r>
        <w:rPr>
          <w:sz w:val="22"/>
          <w:vertAlign w:val="superscript"/>
        </w:rPr>
        <w:t>14,15</w:t>
      </w:r>
      <w:r>
        <w:rPr>
          <w:sz w:val="22"/>
        </w:rPr>
        <w:t xml:space="preserve"> and the secondary market for pre-owned medical equipment has been characterised for other device categories.</w:t>
      </w:r>
      <w:r>
        <w:rPr>
          <w:sz w:val="22"/>
          <w:vertAlign w:val="superscript"/>
        </w:rPr>
        <w:t>16</w:t>
      </w:r>
      <w:r>
        <w:rPr>
          <w:sz w:val="22"/>
        </w:rPr>
        <w:t xml:space="preserve"> However, to our knowledge, no study has examined the impact of environmental regulation on the secondary market values of anaesthetic equipment. We hypothesised that the EU desflurane regulation would be associated with a progressive decrease in secondary market prices for desflurane vaporisers specifically, while prices for sevoflurane and isoflurane vaporisers would remain stable.</w:t>
      </w:r>
    </w:p>
    <w:p>
      <w:pPr>
        <w:pStyle w:val="Heading1"/>
      </w:pPr>
      <w:r>
        <w:rPr>
          <w:color w:val="000000"/>
        </w:rPr>
        <w:t>Methods</w:t>
      </w:r>
    </w:p>
    <w:p>
      <w:pPr>
        <w:pStyle w:val="Heading2"/>
      </w:pPr>
      <w:r>
        <w:rPr>
          <w:color w:val="000000"/>
        </w:rPr>
        <w:t>Ethics</w:t>
      </w:r>
    </w:p>
    <w:p>
      <w:r>
        <w:t>Ethical approval was not required for this study. The study analysed publicly available, anonymised completed sale data from an online marketplace (eBay). No individual-level, patient or human participant data were collected. This determination was made in accordance with institutional guidelines regarding research not involving human subjects.</w:t>
      </w:r>
    </w:p>
    <w:p>
      <w:pPr>
        <w:pStyle w:val="Heading2"/>
      </w:pPr>
      <w:r>
        <w:rPr>
          <w:color w:val="000000"/>
        </w:rPr>
        <w:t>Reporting guidelines</w:t>
      </w:r>
    </w:p>
    <w:p>
      <w:r>
        <w:rPr>
          <w:sz w:val="22"/>
        </w:rPr>
        <w:t>This study is reported in accordance with the Strengthening the Reporting of Observational Studies in Epidemiology (STROBE) guidelines for cross-sectional studies.</w:t>
      </w:r>
      <w:r>
        <w:rPr>
          <w:sz w:val="22"/>
          <w:vertAlign w:val="superscript"/>
        </w:rPr>
        <w:t>17</w:t>
      </w:r>
      <w:r>
        <w:rPr>
          <w:sz w:val="22"/>
        </w:rPr>
        <w:t xml:space="preserve"> The completed STROBE checklist is provided as supplementary material.</w:t>
      </w:r>
    </w:p>
    <w:p>
      <w:pPr>
        <w:pStyle w:val="Heading2"/>
      </w:pPr>
      <w:r>
        <w:rPr>
          <w:color w:val="000000"/>
        </w:rPr>
        <w:t>Study design and data source</w:t>
      </w:r>
    </w:p>
    <w:p>
      <w:r>
        <w:t>We conducted a cross-sectional time-series analysis of anaesthetic vaporiser prices using completed (sold) listings on eBay (www.ebay.com). Data were retrieved using Terapeak, eBay’s official product research tool integrated within eBay Seller Hub. Terapeak provides access to up to three years of historical completed sale data, including item titles, sale prices, sale dates and quantities sold. Data were collected in March 2026, covering the period from 28 March 2023 to 24 March 2026.</w:t>
      </w:r>
    </w:p>
    <w:p>
      <w:r>
        <w:t>Although the three-year window reflects the maximum retrievable period within Terapeak, this timeframe is analytically meaningful: it begins shortly after the European Parliament plenary vote approving the revised F-gas Regulation (March 2023) and captures the full legislative trajectory from the European Commission’s original proposal (April 2022) through to the post-ban period, encompassing all key regulatory milestones. We chose to use a single marketplace (eBay) rather than integrating data from multiple platforms to avoid the risk of counting cross-listed items more than once.</w:t>
      </w:r>
    </w:p>
    <w:p>
      <w:pPr>
        <w:pStyle w:val="Heading2"/>
      </w:pPr>
      <w:r>
        <w:rPr>
          <w:color w:val="000000"/>
        </w:rPr>
        <w:t>Eligibility criteria</w:t>
      </w:r>
    </w:p>
    <w:p>
      <w:r>
        <w:t>We searched Terapeak for completed sales using the search terms “desflurane vaporizer”, “sevoflurane vaporizer” and “isoflurane vaporizer” with a three-year date range filter. Inclusion criteria were: (1) completed (sold) listings; (2) standalone anaesthetic vaporiser units; and (3) valid sale price and date. Exclusion criteria were: (1) non-vaporiser items (keyed fillers, bottle adapters, accessories, pour-fill adapters, anti-spill caps); (2) veterinary-specific anaesthesia systems or machines (rather than standalone vaporisers); (3) lot listings containing multiple heterogeneous items; and (4) listings with missing or implausible price data.</w:t>
      </w:r>
    </w:p>
    <w:p>
      <w:pPr>
        <w:pStyle w:val="Heading2"/>
      </w:pPr>
      <w:r>
        <w:rPr>
          <w:color w:val="000000"/>
        </w:rPr>
        <w:t>Variables</w:t>
      </w:r>
    </w:p>
    <w:p>
      <w:r>
        <w:t>The primary outcome was sale price in US dollars. For each listing, we recorded: item title, sale price (USD), sale date and quantity sold. The primary exposure variable was the regulatory period, classified relative to key milestones in the EU F-gas Regulation timeline. The primary comparison used 1 January 2026 (the desflurane prohibition effective date) as the cutpoint. A secondary multi-period classification divided the study period into four phases: post-proposal (after EC proposal, April 2022), post-agreement (after trilogue, October 2023), post-adoption (after formal adoption, February 2024) and post-ban (after 1 January 2026). These ordered phases were used for trend analysis.</w:t>
      </w:r>
    </w:p>
    <w:p>
      <w:pPr>
        <w:pStyle w:val="Heading2"/>
      </w:pPr>
      <w:r>
        <w:rPr>
          <w:color w:val="000000"/>
        </w:rPr>
        <w:t>Statistical analysis</w:t>
      </w:r>
    </w:p>
    <w:p>
      <w:r>
        <w:t>Descriptive statistics included mean, standard deviation (SD), median, interquartile range (IQR) and range for each agent type and regulatory period. Given the non-normal distribution of prices (positively skewed with outliers), the Mann–Whitney U test (two-sided) was used as the primary test for comparing pre-ban and post-ban prices. Welch’s t-test was performed as a sensitivity analysis. Effect sizes were estimated using Cohen’s d.</w:t>
      </w:r>
    </w:p>
    <w:p>
      <w:r>
        <w:t>To assess whether prices changed progressively over time—rather than only at the ban cutpoint—we performed two complementary trend analyses. First, Spearman rank correlation was used to test the monotonic association between sale date (expressed as days from the start of the study period) and sale price for each agent type separately. Second, Kendall τ was computed between the ordered regulatory phase (1–5) and sale price to test whether prices declined progressively across successive regulatory milestones. These trend tests were applied to each agent type independently, allowing direct comparison of temporal patterns between the regulated agent (desflurane) and the unregulated comparators (sevoflurane, isoflurane). Quarterly median prices were also assessed using Spearman correlation to evaluate the trend at an aggregated level.</w:t>
      </w:r>
    </w:p>
    <w:p>
      <w:r>
        <w:t>The Kruskal–Wallis test was used for multi-period comparisons across regulatory phases. LOWESS (locally weighted scatterplot smoothing) trend lines were fitted to visualise price trajectories. Analyses were performed using Python 3.12 with pandas 2.2, scipy 1.14 and statsmodels 0.14. Statistical significance was set at P &lt; 0.05 (two-sided). No a priori sample size calculation was performed, as this study aimed to capture all available transactions within the Terapeak data window.</w:t>
      </w:r>
    </w:p>
    <w:p>
      <w:pPr>
        <w:pStyle w:val="Heading1"/>
      </w:pPr>
      <w:r>
        <w:rPr>
          <w:color w:val="000000"/>
        </w:rPr>
        <w:t>Results</w:t>
      </w:r>
    </w:p>
    <w:p>
      <w:r>
        <w:t>A total of 1033 completed eBay sales of anaesthetic vaporisers were identified and included in the analysis after applying exclusion criteria: 158 desflurane, 321 sevoflurane and 554 isoflurane vaporisers. The study period spanned from 28 March 2023 to 24 March 2026 (three years). Desflurane vaporisers were predominantly Datex-Ohmeda/GE Tec 6 Plus and Dräger D-Vapor models; sevoflurane vaporisers included Dräger Vapor 2000, Penlon Sigma Delta and Tec 7 models; isoflurane vaporisers included Ohmeda Tec 3, Tec 5, Tec 7 and Dräger Vapor 2000 models.</w:t>
      </w:r>
    </w:p>
    <w:p/>
    <w:p>
      <w:r>
        <w:rPr>
          <w:b/>
          <w:i w:val="0"/>
          <w:sz w:val="20"/>
        </w:rPr>
        <w:t xml:space="preserve">Table 1. </w:t>
      </w:r>
      <w:r>
        <w:rPr>
          <w:b w:val="0"/>
          <w:i/>
          <w:sz w:val="20"/>
        </w:rPr>
        <w:t>Summary of completed sales by vaporiser type and regulatory period (pre- and post-1 January 2026). Values are mean (SD), median (IQR) in US dollars. P values from Mann–Whitney U test (two-sided).</w:t>
      </w:r>
    </w:p>
    <w:tbl>
      <w:tblPr>
        <w:tblStyle w:val="TableGrid"/>
        <w:tblW w:type="auto" w:w="0"/>
        <w:jc w:val="center"/>
        <w:tblLook w:firstColumn="1" w:firstRow="1" w:lastColumn="0" w:lastRow="0" w:noHBand="0" w:noVBand="1" w:val="04A0"/>
      </w:tblPr>
      <w:tblGrid>
        <w:gridCol w:w="1105"/>
        <w:gridCol w:w="1105"/>
        <w:gridCol w:w="1105"/>
        <w:gridCol w:w="1105"/>
        <w:gridCol w:w="1105"/>
        <w:gridCol w:w="1105"/>
        <w:gridCol w:w="1105"/>
        <w:gridCol w:w="1105"/>
      </w:tblGrid>
      <w:tr>
        <w:tc>
          <w:tcPr>
            <w:tcW w:type="dxa" w:w="1105"/>
            <w:shd w:fill="D9E2F3" w:val="clear"/>
          </w:tcPr>
          <w:p>
            <w:pPr>
              <w:jc w:val="center"/>
            </w:pPr>
            <w:r>
              <w:rPr>
                <w:b/>
                <w:sz w:val="18"/>
              </w:rPr>
              <w:t>Agent</w:t>
            </w:r>
          </w:p>
        </w:tc>
        <w:tc>
          <w:tcPr>
            <w:tcW w:type="dxa" w:w="1105"/>
            <w:shd w:fill="D9E2F3" w:val="clear"/>
          </w:tcPr>
          <w:p>
            <w:pPr>
              <w:jc w:val="center"/>
            </w:pPr>
            <w:r>
              <w:rPr>
                <w:b/>
                <w:sz w:val="18"/>
              </w:rPr>
              <w:t>Period</w:t>
            </w:r>
          </w:p>
        </w:tc>
        <w:tc>
          <w:tcPr>
            <w:tcW w:type="dxa" w:w="1105"/>
            <w:shd w:fill="D9E2F3" w:val="clear"/>
          </w:tcPr>
          <w:p>
            <w:pPr>
              <w:jc w:val="center"/>
            </w:pPr>
            <w:r>
              <w:rPr>
                <w:b/>
                <w:sz w:val="18"/>
              </w:rPr>
              <w:t>n</w:t>
            </w:r>
          </w:p>
        </w:tc>
        <w:tc>
          <w:tcPr>
            <w:tcW w:type="dxa" w:w="1105"/>
            <w:shd w:fill="D9E2F3" w:val="clear"/>
          </w:tcPr>
          <w:p>
            <w:pPr>
              <w:jc w:val="center"/>
            </w:pPr>
            <w:r>
              <w:rPr>
                <w:b/>
                <w:sz w:val="18"/>
              </w:rPr>
              <w:t>Mean (SD)</w:t>
            </w:r>
          </w:p>
        </w:tc>
        <w:tc>
          <w:tcPr>
            <w:tcW w:type="dxa" w:w="1105"/>
            <w:shd w:fill="D9E2F3" w:val="clear"/>
          </w:tcPr>
          <w:p>
            <w:pPr>
              <w:jc w:val="center"/>
            </w:pPr>
            <w:r>
              <w:rPr>
                <w:b/>
                <w:sz w:val="18"/>
              </w:rPr>
              <w:t>Median (IQR)</w:t>
            </w:r>
          </w:p>
        </w:tc>
        <w:tc>
          <w:tcPr>
            <w:tcW w:type="dxa" w:w="1105"/>
            <w:shd w:fill="D9E2F3" w:val="clear"/>
          </w:tcPr>
          <w:p>
            <w:pPr>
              <w:jc w:val="center"/>
            </w:pPr>
            <w:r>
              <w:rPr>
                <w:b/>
                <w:sz w:val="18"/>
              </w:rPr>
              <w:t>Range</w:t>
            </w:r>
          </w:p>
        </w:tc>
        <w:tc>
          <w:tcPr>
            <w:tcW w:type="dxa" w:w="1105"/>
            <w:shd w:fill="D9E2F3" w:val="clear"/>
          </w:tcPr>
          <w:p>
            <w:pPr>
              <w:jc w:val="center"/>
            </w:pPr>
            <w:r>
              <w:rPr>
                <w:b/>
                <w:sz w:val="18"/>
              </w:rPr>
              <w:t>P value</w:t>
            </w:r>
          </w:p>
        </w:tc>
        <w:tc>
          <w:tcPr>
            <w:tcW w:type="dxa" w:w="1105"/>
            <w:shd w:fill="D9E2F3" w:val="clear"/>
          </w:tcPr>
          <w:p>
            <w:pPr>
              <w:jc w:val="center"/>
            </w:pPr>
            <w:r>
              <w:rPr>
                <w:b/>
                <w:sz w:val="18"/>
              </w:rPr>
              <w:t>Cohen's d</w:t>
            </w:r>
          </w:p>
        </w:tc>
      </w:tr>
      <w:tr>
        <w:tc>
          <w:tcPr>
            <w:tcW w:type="dxa" w:w="1105"/>
          </w:tcPr>
          <w:p>
            <w:pPr>
              <w:jc w:val="left"/>
            </w:pPr>
            <w:r>
              <w:rPr>
                <w:sz w:val="18"/>
              </w:rPr>
              <w:t>Desflurane</w:t>
            </w:r>
          </w:p>
        </w:tc>
        <w:tc>
          <w:tcPr>
            <w:tcW w:type="dxa" w:w="1105"/>
          </w:tcPr>
          <w:p>
            <w:pPr>
              <w:jc w:val="center"/>
            </w:pPr>
            <w:r>
              <w:rPr>
                <w:sz w:val="18"/>
              </w:rPr>
              <w:t>Pre-ban</w:t>
            </w:r>
          </w:p>
        </w:tc>
        <w:tc>
          <w:tcPr>
            <w:tcW w:type="dxa" w:w="1105"/>
          </w:tcPr>
          <w:p>
            <w:pPr>
              <w:jc w:val="center"/>
            </w:pPr>
            <w:r>
              <w:rPr>
                <w:sz w:val="18"/>
              </w:rPr>
              <w:t>141</w:t>
            </w:r>
          </w:p>
        </w:tc>
        <w:tc>
          <w:tcPr>
            <w:tcW w:type="dxa" w:w="1105"/>
          </w:tcPr>
          <w:p>
            <w:pPr>
              <w:jc w:val="center"/>
            </w:pPr>
            <w:r>
              <w:rPr>
                <w:sz w:val="18"/>
              </w:rPr>
              <w:t>$238 (195)</w:t>
            </w:r>
          </w:p>
        </w:tc>
        <w:tc>
          <w:tcPr>
            <w:tcW w:type="dxa" w:w="1105"/>
          </w:tcPr>
          <w:p>
            <w:pPr>
              <w:jc w:val="center"/>
            </w:pPr>
            <w:r>
              <w:rPr>
                <w:sz w:val="18"/>
              </w:rPr>
              <w:t>$200 (99–325)</w:t>
            </w:r>
          </w:p>
        </w:tc>
        <w:tc>
          <w:tcPr>
            <w:tcW w:type="dxa" w:w="1105"/>
          </w:tcPr>
          <w:p>
            <w:pPr>
              <w:jc w:val="center"/>
            </w:pPr>
            <w:r>
              <w:rPr>
                <w:sz w:val="18"/>
              </w:rPr>
              <w:t>$25–1500</w:t>
            </w:r>
          </w:p>
        </w:tc>
        <w:tc>
          <w:tcPr>
            <w:tcW w:type="dxa" w:w="1105"/>
          </w:tcPr>
          <w:p>
            <w:pPr>
              <w:jc w:val="center"/>
            </w:pPr>
            <w:r>
              <w:rPr>
                <w:sz w:val="18"/>
              </w:rPr>
              <w:t>0.148</w:t>
            </w:r>
          </w:p>
        </w:tc>
        <w:tc>
          <w:tcPr>
            <w:tcW w:type="dxa" w:w="1105"/>
          </w:tcPr>
          <w:p>
            <w:pPr>
              <w:jc w:val="center"/>
            </w:pPr>
            <w:r>
              <w:rPr>
                <w:sz w:val="18"/>
              </w:rPr>
              <w:t>-0.47</w:t>
            </w:r>
          </w:p>
        </w:tc>
      </w:tr>
      <w:tr>
        <w:tc>
          <w:tcPr>
            <w:tcW w:type="dxa" w:w="1105"/>
          </w:tcPr>
          <w:p>
            <w:pPr>
              <w:jc w:val="left"/>
            </w:pPr>
            <w:r>
              <w:rPr>
                <w:sz w:val="18"/>
              </w:rPr>
            </w:r>
          </w:p>
        </w:tc>
        <w:tc>
          <w:tcPr>
            <w:tcW w:type="dxa" w:w="1105"/>
          </w:tcPr>
          <w:p>
            <w:pPr>
              <w:jc w:val="center"/>
            </w:pPr>
            <w:r>
              <w:rPr>
                <w:sz w:val="18"/>
              </w:rPr>
              <w:t>Post-ban</w:t>
            </w:r>
          </w:p>
        </w:tc>
        <w:tc>
          <w:tcPr>
            <w:tcW w:type="dxa" w:w="1105"/>
          </w:tcPr>
          <w:p>
            <w:pPr>
              <w:jc w:val="center"/>
            </w:pPr>
            <w:r>
              <w:rPr>
                <w:sz w:val="18"/>
              </w:rPr>
              <w:t>17</w:t>
            </w:r>
          </w:p>
        </w:tc>
        <w:tc>
          <w:tcPr>
            <w:tcW w:type="dxa" w:w="1105"/>
          </w:tcPr>
          <w:p>
            <w:pPr>
              <w:jc w:val="center"/>
            </w:pPr>
            <w:r>
              <w:rPr>
                <w:sz w:val="18"/>
              </w:rPr>
              <w:t>$164 (113)</w:t>
            </w:r>
          </w:p>
        </w:tc>
        <w:tc>
          <w:tcPr>
            <w:tcW w:type="dxa" w:w="1105"/>
          </w:tcPr>
          <w:p>
            <w:pPr>
              <w:jc w:val="center"/>
            </w:pPr>
            <w:r>
              <w:rPr>
                <w:sz w:val="18"/>
              </w:rPr>
              <w:t>$101 (86–250)</w:t>
            </w:r>
          </w:p>
        </w:tc>
        <w:tc>
          <w:tcPr>
            <w:tcW w:type="dxa" w:w="1105"/>
          </w:tcPr>
          <w:p>
            <w:pPr>
              <w:jc w:val="center"/>
            </w:pPr>
            <w:r>
              <w:rPr>
                <w:sz w:val="18"/>
              </w:rPr>
              <w:t>$28–375</w:t>
            </w:r>
          </w:p>
        </w:tc>
        <w:tc>
          <w:tcPr>
            <w:tcW w:type="dxa" w:w="1105"/>
          </w:tcPr>
          <w:p>
            <w:pPr>
              <w:jc w:val="center"/>
            </w:pPr>
            <w:r>
              <w:rPr>
                <w:sz w:val="18"/>
              </w:rPr>
            </w:r>
          </w:p>
        </w:tc>
        <w:tc>
          <w:tcPr>
            <w:tcW w:type="dxa" w:w="1105"/>
          </w:tcPr>
          <w:p>
            <w:pPr>
              <w:jc w:val="center"/>
            </w:pPr>
            <w:r>
              <w:rPr>
                <w:sz w:val="18"/>
              </w:rPr>
            </w:r>
          </w:p>
        </w:tc>
      </w:tr>
      <w:tr>
        <w:tc>
          <w:tcPr>
            <w:tcW w:type="dxa" w:w="1105"/>
          </w:tcPr>
          <w:p>
            <w:pPr>
              <w:jc w:val="left"/>
            </w:pPr>
            <w:r>
              <w:rPr>
                <w:sz w:val="18"/>
              </w:rPr>
              <w:t>Sevoflurane</w:t>
            </w:r>
          </w:p>
        </w:tc>
        <w:tc>
          <w:tcPr>
            <w:tcW w:type="dxa" w:w="1105"/>
          </w:tcPr>
          <w:p>
            <w:pPr>
              <w:jc w:val="center"/>
            </w:pPr>
            <w:r>
              <w:rPr>
                <w:sz w:val="18"/>
              </w:rPr>
              <w:t>Pre-ban</w:t>
            </w:r>
          </w:p>
        </w:tc>
        <w:tc>
          <w:tcPr>
            <w:tcW w:type="dxa" w:w="1105"/>
          </w:tcPr>
          <w:p>
            <w:pPr>
              <w:jc w:val="center"/>
            </w:pPr>
            <w:r>
              <w:rPr>
                <w:sz w:val="18"/>
              </w:rPr>
              <w:t>287</w:t>
            </w:r>
          </w:p>
        </w:tc>
        <w:tc>
          <w:tcPr>
            <w:tcW w:type="dxa" w:w="1105"/>
          </w:tcPr>
          <w:p>
            <w:pPr>
              <w:jc w:val="center"/>
            </w:pPr>
            <w:r>
              <w:rPr>
                <w:sz w:val="18"/>
              </w:rPr>
              <w:t>$545 (415)</w:t>
            </w:r>
          </w:p>
        </w:tc>
        <w:tc>
          <w:tcPr>
            <w:tcW w:type="dxa" w:w="1105"/>
          </w:tcPr>
          <w:p>
            <w:pPr>
              <w:jc w:val="center"/>
            </w:pPr>
            <w:r>
              <w:rPr>
                <w:sz w:val="18"/>
              </w:rPr>
              <w:t>$430 (300–662)</w:t>
            </w:r>
          </w:p>
        </w:tc>
        <w:tc>
          <w:tcPr>
            <w:tcW w:type="dxa" w:w="1105"/>
          </w:tcPr>
          <w:p>
            <w:pPr>
              <w:jc w:val="center"/>
            </w:pPr>
            <w:r>
              <w:rPr>
                <w:sz w:val="18"/>
              </w:rPr>
              <w:t>$75–2750</w:t>
            </w:r>
          </w:p>
        </w:tc>
        <w:tc>
          <w:tcPr>
            <w:tcW w:type="dxa" w:w="1105"/>
          </w:tcPr>
          <w:p>
            <w:pPr>
              <w:jc w:val="center"/>
            </w:pPr>
            <w:r>
              <w:rPr>
                <w:sz w:val="18"/>
              </w:rPr>
              <w:t>0.150</w:t>
            </w:r>
          </w:p>
        </w:tc>
        <w:tc>
          <w:tcPr>
            <w:tcW w:type="dxa" w:w="1105"/>
          </w:tcPr>
          <w:p>
            <w:pPr>
              <w:jc w:val="center"/>
            </w:pPr>
            <w:r>
              <w:rPr>
                <w:sz w:val="18"/>
              </w:rPr>
              <w:t>0.17</w:t>
            </w:r>
          </w:p>
        </w:tc>
      </w:tr>
      <w:tr>
        <w:tc>
          <w:tcPr>
            <w:tcW w:type="dxa" w:w="1105"/>
          </w:tcPr>
          <w:p>
            <w:pPr>
              <w:jc w:val="left"/>
            </w:pPr>
            <w:r>
              <w:rPr>
                <w:sz w:val="18"/>
              </w:rPr>
            </w:r>
          </w:p>
        </w:tc>
        <w:tc>
          <w:tcPr>
            <w:tcW w:type="dxa" w:w="1105"/>
          </w:tcPr>
          <w:p>
            <w:pPr>
              <w:jc w:val="center"/>
            </w:pPr>
            <w:r>
              <w:rPr>
                <w:sz w:val="18"/>
              </w:rPr>
              <w:t>Post-ban</w:t>
            </w:r>
          </w:p>
        </w:tc>
        <w:tc>
          <w:tcPr>
            <w:tcW w:type="dxa" w:w="1105"/>
          </w:tcPr>
          <w:p>
            <w:pPr>
              <w:jc w:val="center"/>
            </w:pPr>
            <w:r>
              <w:rPr>
                <w:sz w:val="18"/>
              </w:rPr>
              <w:t>34</w:t>
            </w:r>
          </w:p>
        </w:tc>
        <w:tc>
          <w:tcPr>
            <w:tcW w:type="dxa" w:w="1105"/>
          </w:tcPr>
          <w:p>
            <w:pPr>
              <w:jc w:val="center"/>
            </w:pPr>
            <w:r>
              <w:rPr>
                <w:sz w:val="18"/>
              </w:rPr>
              <w:t>$612 (365)</w:t>
            </w:r>
          </w:p>
        </w:tc>
        <w:tc>
          <w:tcPr>
            <w:tcW w:type="dxa" w:w="1105"/>
          </w:tcPr>
          <w:p>
            <w:pPr>
              <w:jc w:val="center"/>
            </w:pPr>
            <w:r>
              <w:rPr>
                <w:sz w:val="18"/>
              </w:rPr>
              <w:t>$508 (322–900)</w:t>
            </w:r>
          </w:p>
        </w:tc>
        <w:tc>
          <w:tcPr>
            <w:tcW w:type="dxa" w:w="1105"/>
          </w:tcPr>
          <w:p>
            <w:pPr>
              <w:jc w:val="center"/>
            </w:pPr>
            <w:r>
              <w:rPr>
                <w:sz w:val="18"/>
              </w:rPr>
              <w:t>$50–1500</w:t>
            </w:r>
          </w:p>
        </w:tc>
        <w:tc>
          <w:tcPr>
            <w:tcW w:type="dxa" w:w="1105"/>
          </w:tcPr>
          <w:p>
            <w:pPr>
              <w:jc w:val="center"/>
            </w:pPr>
            <w:r>
              <w:rPr>
                <w:sz w:val="18"/>
              </w:rPr>
            </w:r>
          </w:p>
        </w:tc>
        <w:tc>
          <w:tcPr>
            <w:tcW w:type="dxa" w:w="1105"/>
          </w:tcPr>
          <w:p>
            <w:pPr>
              <w:jc w:val="center"/>
            </w:pPr>
            <w:r>
              <w:rPr>
                <w:sz w:val="18"/>
              </w:rPr>
            </w:r>
          </w:p>
        </w:tc>
      </w:tr>
      <w:tr>
        <w:tc>
          <w:tcPr>
            <w:tcW w:type="dxa" w:w="1105"/>
          </w:tcPr>
          <w:p>
            <w:pPr>
              <w:jc w:val="left"/>
            </w:pPr>
            <w:r>
              <w:rPr>
                <w:sz w:val="18"/>
              </w:rPr>
              <w:t>Isoflurane</w:t>
            </w:r>
          </w:p>
        </w:tc>
        <w:tc>
          <w:tcPr>
            <w:tcW w:type="dxa" w:w="1105"/>
          </w:tcPr>
          <w:p>
            <w:pPr>
              <w:jc w:val="center"/>
            </w:pPr>
            <w:r>
              <w:rPr>
                <w:sz w:val="18"/>
              </w:rPr>
              <w:t>Pre-ban</w:t>
            </w:r>
          </w:p>
        </w:tc>
        <w:tc>
          <w:tcPr>
            <w:tcW w:type="dxa" w:w="1105"/>
          </w:tcPr>
          <w:p>
            <w:pPr>
              <w:jc w:val="center"/>
            </w:pPr>
            <w:r>
              <w:rPr>
                <w:sz w:val="18"/>
              </w:rPr>
              <w:t>510</w:t>
            </w:r>
          </w:p>
        </w:tc>
        <w:tc>
          <w:tcPr>
            <w:tcW w:type="dxa" w:w="1105"/>
          </w:tcPr>
          <w:p>
            <w:pPr>
              <w:jc w:val="center"/>
            </w:pPr>
            <w:r>
              <w:rPr>
                <w:sz w:val="18"/>
              </w:rPr>
              <w:t>$287 (215)</w:t>
            </w:r>
          </w:p>
        </w:tc>
        <w:tc>
          <w:tcPr>
            <w:tcW w:type="dxa" w:w="1105"/>
          </w:tcPr>
          <w:p>
            <w:pPr>
              <w:jc w:val="center"/>
            </w:pPr>
            <w:r>
              <w:rPr>
                <w:sz w:val="18"/>
              </w:rPr>
              <w:t>$248 (140–350)</w:t>
            </w:r>
          </w:p>
        </w:tc>
        <w:tc>
          <w:tcPr>
            <w:tcW w:type="dxa" w:w="1105"/>
          </w:tcPr>
          <w:p>
            <w:pPr>
              <w:jc w:val="center"/>
            </w:pPr>
            <w:r>
              <w:rPr>
                <w:sz w:val="18"/>
              </w:rPr>
              <w:t>$30–1275</w:t>
            </w:r>
          </w:p>
        </w:tc>
        <w:tc>
          <w:tcPr>
            <w:tcW w:type="dxa" w:w="1105"/>
          </w:tcPr>
          <w:p>
            <w:pPr>
              <w:jc w:val="center"/>
            </w:pPr>
            <w:r>
              <w:rPr>
                <w:sz w:val="18"/>
              </w:rPr>
              <w:t>0.184</w:t>
            </w:r>
          </w:p>
        </w:tc>
        <w:tc>
          <w:tcPr>
            <w:tcW w:type="dxa" w:w="1105"/>
          </w:tcPr>
          <w:p>
            <w:pPr>
              <w:jc w:val="center"/>
            </w:pPr>
            <w:r>
              <w:rPr>
                <w:sz w:val="18"/>
              </w:rPr>
              <w:t>-0.16</w:t>
            </w:r>
          </w:p>
        </w:tc>
      </w:tr>
      <w:tr>
        <w:tc>
          <w:tcPr>
            <w:tcW w:type="dxa" w:w="1105"/>
          </w:tcPr>
          <w:p>
            <w:pPr>
              <w:jc w:val="left"/>
            </w:pPr>
            <w:r>
              <w:rPr>
                <w:sz w:val="18"/>
              </w:rPr>
            </w:r>
          </w:p>
        </w:tc>
        <w:tc>
          <w:tcPr>
            <w:tcW w:type="dxa" w:w="1105"/>
          </w:tcPr>
          <w:p>
            <w:pPr>
              <w:jc w:val="center"/>
            </w:pPr>
            <w:r>
              <w:rPr>
                <w:sz w:val="18"/>
              </w:rPr>
              <w:t>Post-ban</w:t>
            </w:r>
          </w:p>
        </w:tc>
        <w:tc>
          <w:tcPr>
            <w:tcW w:type="dxa" w:w="1105"/>
          </w:tcPr>
          <w:p>
            <w:pPr>
              <w:jc w:val="center"/>
            </w:pPr>
            <w:r>
              <w:rPr>
                <w:sz w:val="18"/>
              </w:rPr>
              <w:t>44</w:t>
            </w:r>
          </w:p>
        </w:tc>
        <w:tc>
          <w:tcPr>
            <w:tcW w:type="dxa" w:w="1105"/>
          </w:tcPr>
          <w:p>
            <w:pPr>
              <w:jc w:val="center"/>
            </w:pPr>
            <w:r>
              <w:rPr>
                <w:sz w:val="18"/>
              </w:rPr>
              <w:t>$255 (191)</w:t>
            </w:r>
          </w:p>
        </w:tc>
        <w:tc>
          <w:tcPr>
            <w:tcW w:type="dxa" w:w="1105"/>
          </w:tcPr>
          <w:p>
            <w:pPr>
              <w:jc w:val="center"/>
            </w:pPr>
            <w:r>
              <w:rPr>
                <w:sz w:val="18"/>
              </w:rPr>
              <w:t>$200 (100–330)</w:t>
            </w:r>
          </w:p>
        </w:tc>
        <w:tc>
          <w:tcPr>
            <w:tcW w:type="dxa" w:w="1105"/>
          </w:tcPr>
          <w:p>
            <w:pPr>
              <w:jc w:val="center"/>
            </w:pPr>
            <w:r>
              <w:rPr>
                <w:sz w:val="18"/>
              </w:rPr>
              <w:t>$70–795</w:t>
            </w:r>
          </w:p>
        </w:tc>
        <w:tc>
          <w:tcPr>
            <w:tcW w:type="dxa" w:w="1105"/>
          </w:tcPr>
          <w:p>
            <w:pPr>
              <w:jc w:val="center"/>
            </w:pPr>
            <w:r>
              <w:rPr>
                <w:sz w:val="18"/>
              </w:rPr>
            </w:r>
          </w:p>
        </w:tc>
        <w:tc>
          <w:tcPr>
            <w:tcW w:type="dxa" w:w="1105"/>
          </w:tcPr>
          <w:p>
            <w:pPr>
              <w:jc w:val="center"/>
            </w:pPr>
            <w:r>
              <w:rPr>
                <w:sz w:val="18"/>
              </w:rPr>
            </w:r>
          </w:p>
        </w:tc>
      </w:tr>
    </w:tbl>
    <w:p/>
    <w:p>
      <w:r>
        <w:rPr>
          <w:b/>
          <w:i w:val="0"/>
          <w:sz w:val="20"/>
        </w:rPr>
        <w:t xml:space="preserve">Table 2. </w:t>
      </w:r>
      <w:r>
        <w:rPr>
          <w:b w:val="0"/>
          <w:i/>
          <w:sz w:val="20"/>
        </w:rPr>
        <w:t>Time-series trend analysis of vaporiser prices by agent type. Spearman rank correlation tests monotonic association between sale date and price; Kendall τ tests association between ordered regulatory phase and price.</w:t>
      </w:r>
    </w:p>
    <w:tbl>
      <w:tblPr>
        <w:tblStyle w:val="TableGrid"/>
        <w:tblW w:type="auto" w:w="0"/>
        <w:jc w:val="center"/>
        <w:tblLook w:firstColumn="1" w:firstRow="1" w:lastColumn="0" w:lastRow="0" w:noHBand="0" w:noVBand="1" w:val="04A0"/>
      </w:tblPr>
      <w:tblGrid>
        <w:gridCol w:w="1263"/>
        <w:gridCol w:w="1263"/>
        <w:gridCol w:w="1263"/>
        <w:gridCol w:w="1263"/>
        <w:gridCol w:w="1263"/>
        <w:gridCol w:w="1263"/>
        <w:gridCol w:w="1263"/>
      </w:tblGrid>
      <w:tr>
        <w:tc>
          <w:tcPr>
            <w:tcW w:type="dxa" w:w="1263"/>
            <w:shd w:fill="D9E2F3" w:val="clear"/>
          </w:tcPr>
          <w:p>
            <w:pPr>
              <w:jc w:val="center"/>
            </w:pPr>
            <w:r>
              <w:rPr>
                <w:b/>
                <w:sz w:val="18"/>
              </w:rPr>
              <w:t>Agent</w:t>
            </w:r>
          </w:p>
        </w:tc>
        <w:tc>
          <w:tcPr>
            <w:tcW w:type="dxa" w:w="1263"/>
            <w:shd w:fill="D9E2F3" w:val="clear"/>
          </w:tcPr>
          <w:p>
            <w:pPr>
              <w:jc w:val="center"/>
            </w:pPr>
            <w:r>
              <w:rPr>
                <w:b/>
                <w:sz w:val="18"/>
              </w:rPr>
              <w:t>Spearman ρ</w:t>
            </w:r>
          </w:p>
        </w:tc>
        <w:tc>
          <w:tcPr>
            <w:tcW w:type="dxa" w:w="1263"/>
            <w:shd w:fill="D9E2F3" w:val="clear"/>
          </w:tcPr>
          <w:p>
            <w:pPr>
              <w:jc w:val="center"/>
            </w:pPr>
            <w:r>
              <w:rPr>
                <w:b/>
                <w:sz w:val="18"/>
              </w:rPr>
              <w:t>P value</w:t>
            </w:r>
          </w:p>
        </w:tc>
        <w:tc>
          <w:tcPr>
            <w:tcW w:type="dxa" w:w="1263"/>
            <w:shd w:fill="D9E2F3" w:val="clear"/>
          </w:tcPr>
          <w:p>
            <w:pPr>
              <w:jc w:val="center"/>
            </w:pPr>
            <w:r>
              <w:rPr>
                <w:b/>
                <w:sz w:val="18"/>
              </w:rPr>
              <w:t>Kendall τ</w:t>
            </w:r>
          </w:p>
        </w:tc>
        <w:tc>
          <w:tcPr>
            <w:tcW w:type="dxa" w:w="1263"/>
            <w:shd w:fill="D9E2F3" w:val="clear"/>
          </w:tcPr>
          <w:p>
            <w:pPr>
              <w:jc w:val="center"/>
            </w:pPr>
            <w:r>
              <w:rPr>
                <w:b/>
                <w:sz w:val="18"/>
              </w:rPr>
              <w:t>P value</w:t>
            </w:r>
          </w:p>
        </w:tc>
        <w:tc>
          <w:tcPr>
            <w:tcW w:type="dxa" w:w="1263"/>
            <w:shd w:fill="D9E2F3" w:val="clear"/>
          </w:tcPr>
          <w:p>
            <w:pPr>
              <w:jc w:val="center"/>
            </w:pPr>
            <w:r>
              <w:rPr>
                <w:b/>
                <w:sz w:val="18"/>
              </w:rPr>
              <w:t>Quarterly ρ</w:t>
            </w:r>
          </w:p>
        </w:tc>
        <w:tc>
          <w:tcPr>
            <w:tcW w:type="dxa" w:w="1263"/>
            <w:shd w:fill="D9E2F3" w:val="clear"/>
          </w:tcPr>
          <w:p>
            <w:pPr>
              <w:jc w:val="center"/>
            </w:pPr>
            <w:r>
              <w:rPr>
                <w:b/>
                <w:sz w:val="18"/>
              </w:rPr>
              <w:t>P value</w:t>
            </w:r>
          </w:p>
        </w:tc>
      </w:tr>
      <w:tr>
        <w:tc>
          <w:tcPr>
            <w:tcW w:type="dxa" w:w="1263"/>
          </w:tcPr>
          <w:p>
            <w:pPr>
              <w:jc w:val="left"/>
            </w:pPr>
            <w:r>
              <w:rPr>
                <w:sz w:val="18"/>
              </w:rPr>
              <w:t>Desflurane</w:t>
            </w:r>
          </w:p>
        </w:tc>
        <w:tc>
          <w:tcPr>
            <w:tcW w:type="dxa" w:w="1263"/>
          </w:tcPr>
          <w:p>
            <w:pPr>
              <w:jc w:val="center"/>
            </w:pPr>
            <w:r>
              <w:rPr>
                <w:sz w:val="18"/>
              </w:rPr>
              <w:t>-0.277</w:t>
            </w:r>
          </w:p>
        </w:tc>
        <w:tc>
          <w:tcPr>
            <w:tcW w:type="dxa" w:w="1263"/>
          </w:tcPr>
          <w:p>
            <w:pPr>
              <w:jc w:val="center"/>
            </w:pPr>
            <w:r>
              <w:rPr>
                <w:sz w:val="18"/>
              </w:rPr>
              <w:t>&lt;0.001</w:t>
            </w:r>
          </w:p>
        </w:tc>
        <w:tc>
          <w:tcPr>
            <w:tcW w:type="dxa" w:w="1263"/>
          </w:tcPr>
          <w:p>
            <w:pPr>
              <w:jc w:val="center"/>
            </w:pPr>
            <w:r>
              <w:rPr>
                <w:sz w:val="18"/>
              </w:rPr>
              <w:t>-0.121</w:t>
            </w:r>
          </w:p>
        </w:tc>
        <w:tc>
          <w:tcPr>
            <w:tcW w:type="dxa" w:w="1263"/>
          </w:tcPr>
          <w:p>
            <w:pPr>
              <w:jc w:val="center"/>
            </w:pPr>
            <w:r>
              <w:rPr>
                <w:sz w:val="18"/>
              </w:rPr>
              <w:t>0.049</w:t>
            </w:r>
          </w:p>
        </w:tc>
        <w:tc>
          <w:tcPr>
            <w:tcW w:type="dxa" w:w="1263"/>
          </w:tcPr>
          <w:p>
            <w:pPr>
              <w:jc w:val="center"/>
            </w:pPr>
            <w:r>
              <w:rPr>
                <w:sz w:val="18"/>
              </w:rPr>
              <w:t>-0.601</w:t>
            </w:r>
          </w:p>
        </w:tc>
        <w:tc>
          <w:tcPr>
            <w:tcW w:type="dxa" w:w="1263"/>
          </w:tcPr>
          <w:p>
            <w:pPr>
              <w:jc w:val="center"/>
            </w:pPr>
            <w:r>
              <w:rPr>
                <w:sz w:val="18"/>
              </w:rPr>
              <w:t>0.039</w:t>
            </w:r>
          </w:p>
        </w:tc>
      </w:tr>
      <w:tr>
        <w:tc>
          <w:tcPr>
            <w:tcW w:type="dxa" w:w="1263"/>
          </w:tcPr>
          <w:p>
            <w:pPr>
              <w:jc w:val="left"/>
            </w:pPr>
            <w:r>
              <w:rPr>
                <w:sz w:val="18"/>
              </w:rPr>
              <w:t>Sevoflurane</w:t>
            </w:r>
          </w:p>
        </w:tc>
        <w:tc>
          <w:tcPr>
            <w:tcW w:type="dxa" w:w="1263"/>
          </w:tcPr>
          <w:p>
            <w:pPr>
              <w:jc w:val="center"/>
            </w:pPr>
            <w:r>
              <w:rPr>
                <w:sz w:val="18"/>
              </w:rPr>
              <w:t>0.010</w:t>
            </w:r>
          </w:p>
        </w:tc>
        <w:tc>
          <w:tcPr>
            <w:tcW w:type="dxa" w:w="1263"/>
          </w:tcPr>
          <w:p>
            <w:pPr>
              <w:jc w:val="center"/>
            </w:pPr>
            <w:r>
              <w:rPr>
                <w:sz w:val="18"/>
              </w:rPr>
              <w:t>0.862</w:t>
            </w:r>
          </w:p>
        </w:tc>
        <w:tc>
          <w:tcPr>
            <w:tcW w:type="dxa" w:w="1263"/>
          </w:tcPr>
          <w:p>
            <w:pPr>
              <w:jc w:val="center"/>
            </w:pPr>
            <w:r>
              <w:rPr>
                <w:sz w:val="18"/>
              </w:rPr>
              <w:t>0.039</w:t>
            </w:r>
          </w:p>
        </w:tc>
        <w:tc>
          <w:tcPr>
            <w:tcW w:type="dxa" w:w="1263"/>
          </w:tcPr>
          <w:p>
            <w:pPr>
              <w:jc w:val="center"/>
            </w:pPr>
            <w:r>
              <w:rPr>
                <w:sz w:val="18"/>
              </w:rPr>
              <w:t>0.365</w:t>
            </w:r>
          </w:p>
        </w:tc>
        <w:tc>
          <w:tcPr>
            <w:tcW w:type="dxa" w:w="1263"/>
          </w:tcPr>
          <w:p>
            <w:pPr>
              <w:jc w:val="center"/>
            </w:pPr>
            <w:r>
              <w:rPr>
                <w:sz w:val="18"/>
              </w:rPr>
              <w:t>-0.092</w:t>
            </w:r>
          </w:p>
        </w:tc>
        <w:tc>
          <w:tcPr>
            <w:tcW w:type="dxa" w:w="1263"/>
          </w:tcPr>
          <w:p>
            <w:pPr>
              <w:jc w:val="center"/>
            </w:pPr>
            <w:r>
              <w:rPr>
                <w:sz w:val="18"/>
              </w:rPr>
              <w:t>0.777</w:t>
            </w:r>
          </w:p>
        </w:tc>
      </w:tr>
      <w:tr>
        <w:tc>
          <w:tcPr>
            <w:tcW w:type="dxa" w:w="1263"/>
          </w:tcPr>
          <w:p>
            <w:pPr>
              <w:jc w:val="left"/>
            </w:pPr>
            <w:r>
              <w:rPr>
                <w:sz w:val="18"/>
              </w:rPr>
              <w:t>Isoflurane</w:t>
            </w:r>
          </w:p>
        </w:tc>
        <w:tc>
          <w:tcPr>
            <w:tcW w:type="dxa" w:w="1263"/>
          </w:tcPr>
          <w:p>
            <w:pPr>
              <w:jc w:val="center"/>
            </w:pPr>
            <w:r>
              <w:rPr>
                <w:sz w:val="18"/>
              </w:rPr>
              <w:t>-0.086</w:t>
            </w:r>
          </w:p>
        </w:tc>
        <w:tc>
          <w:tcPr>
            <w:tcW w:type="dxa" w:w="1263"/>
          </w:tcPr>
          <w:p>
            <w:pPr>
              <w:jc w:val="center"/>
            </w:pPr>
            <w:r>
              <w:rPr>
                <w:sz w:val="18"/>
              </w:rPr>
              <w:t>0.044</w:t>
            </w:r>
          </w:p>
        </w:tc>
        <w:tc>
          <w:tcPr>
            <w:tcW w:type="dxa" w:w="1263"/>
          </w:tcPr>
          <w:p>
            <w:pPr>
              <w:jc w:val="center"/>
            </w:pPr>
            <w:r>
              <w:rPr>
                <w:sz w:val="18"/>
              </w:rPr>
              <w:t>-0.074</w:t>
            </w:r>
          </w:p>
        </w:tc>
        <w:tc>
          <w:tcPr>
            <w:tcW w:type="dxa" w:w="1263"/>
          </w:tcPr>
          <w:p>
            <w:pPr>
              <w:jc w:val="center"/>
            </w:pPr>
            <w:r>
              <w:rPr>
                <w:sz w:val="18"/>
              </w:rPr>
              <w:t>0.025</w:t>
            </w:r>
          </w:p>
        </w:tc>
        <w:tc>
          <w:tcPr>
            <w:tcW w:type="dxa" w:w="1263"/>
          </w:tcPr>
          <w:p>
            <w:pPr>
              <w:jc w:val="center"/>
            </w:pPr>
            <w:r>
              <w:rPr>
                <w:sz w:val="18"/>
              </w:rPr>
              <w:t>-0.321</w:t>
            </w:r>
          </w:p>
        </w:tc>
        <w:tc>
          <w:tcPr>
            <w:tcW w:type="dxa" w:w="1263"/>
          </w:tcPr>
          <w:p>
            <w:pPr>
              <w:jc w:val="center"/>
            </w:pPr>
            <w:r>
              <w:rPr>
                <w:sz w:val="18"/>
              </w:rPr>
              <w:t>0.285</w:t>
            </w:r>
          </w:p>
        </w:tc>
      </w:tr>
    </w:tbl>
    <w:p/>
    <w:p>
      <w:r>
        <w:t>Desflurane vaporiser prices showed a statistically significant downward trend over the three-year study period. Spearman rank correlation demonstrated a significant negative monotonic association between sale date and price (ρ=-0.28, P&lt;0.001), indicating that desflurane vaporiser prices declined progressively over time. Kendall τ analysis confirmed that prices decreased across successive regulatory phases (τ=-0.12, P=0.049). At the aggregated level, quarterly median prices also showed a significant downward trend (ρ=-0.60, P=0.039).</w:t>
      </w:r>
    </w:p>
    <w:p>
      <w:r>
        <w:t>In the direct pre-/post-ban comparison, the post-ban mean price (US$164 ± 113) was 31% lower than the pre-ban mean (US$238 ± 195). This difference was statistically significant on Welch’s t-test (P=0.027) but did not reach significance on the Mann–Whitney U test (P=0.148), likely reflecting the small post-ban sample (n=17). The effect size was medium (Cohen’s d=-0.47).</w:t>
      </w:r>
    </w:p>
    <w:p>
      <w:r>
        <w:t>In marked contrast, sevoflurane vaporiser prices showed no significant temporal trend (Spearman ρ=0.01, P=0.862; Kendall τ=0.04, P=0.365). Pre-/post-ban comparison showed a non-significant 12% increase (P=0.150, Mann–Whitney U).</w:t>
      </w:r>
    </w:p>
    <w:p>
      <w:r>
        <w:t>Isoflurane vaporiser prices were similarly stable. Although Spearman correlation reached nominal significance (ρ=-0.09, P=0.044), the magnitude was small and the quarterly median trend was not significant (ρ=-0.32, P=0.285). The pre-/post-ban comparison showed a non-significant 11% decline (P=0.184, Mann–Whitney U). The stability of sevoflurane and isoflurane prices strengthens the inference that the desflurane price decline was specifically attributable to the EU regulation rather than to broader market forces.</w:t>
      </w:r>
    </w:p>
    <w:p>
      <w:r>
        <w:t>In a supplementary cross-sectional analysis of 120 current eBay asking prices (active listings, 27 March 2026), desflurane vaporisers had the lowest median asking price (US$178), approximately one-seventh that of sevoflurane (US$1277) and one-third that of isoflurane (US$556; Kruskal–Wallis H=66.0, P&lt;0.001). The desflurane asking–sold price spread (43%) was substantially narrower than for sevoflurane (184%) or isoflurane (178%), suggesting that sellers have already adjusted their price expectations to reflect post-regulation market reality.</w:t>
      </w:r>
    </w:p>
    <w:p>
      <w:pPr>
        <w:pStyle w:val="Heading1"/>
      </w:pPr>
      <w:r>
        <w:rPr>
          <w:color w:val="000000"/>
        </w:rPr>
        <w:t>Discussion</w:t>
      </w:r>
    </w:p>
    <w:p>
      <w:r>
        <w:t>This study provides the first empirical evidence that environmental regulation of an anaesthetic agent has agent-specific effects on secondary market equipment prices. Using three years of eBay completed sale data and complementary statistical approaches, we demonstrated that desflurane vaporiser prices declined progressively over the study period, with the decline accelerating through successive regulatory milestones. Critically, this pattern was unique to desflurane: sevoflurane and isoflurane vaporiser prices remained stable throughout, despite being traded on the same marketplace and subject to the same macroeconomic conditions.</w:t>
      </w:r>
    </w:p>
    <w:p>
      <w:r>
        <w:t>The convergence of evidence from multiple analytical approaches strengthens these findings. Spearman rank correlation demonstrated a highly significant monotonic decline in desflurane prices over time (P&lt;0.001), while the same test showed no significant trend for sevoflurane (P=0.86). Kendall τ confirmed that prices declined across ordered regulatory phases for desflurane (P=0.049) but not sevoflurane (P=0.36). Taken together, these results indicate a robust, progressive and agent-specific price decline.</w:t>
      </w:r>
    </w:p>
    <w:p>
      <w:r>
        <w:rPr>
          <w:sz w:val="22"/>
        </w:rPr>
        <w:t>To our knowledge, no previous study has examined the secondary market impact of environmental regulation on anaesthetic equipment. Lehmann et al.</w:t>
      </w:r>
      <w:r>
        <w:rPr>
          <w:sz w:val="22"/>
          <w:vertAlign w:val="superscript"/>
        </w:rPr>
        <w:t>13</w:t>
      </w:r>
      <w:r>
        <w:rPr>
          <w:sz w:val="22"/>
        </w:rPr>
        <w:t xml:space="preserve"> demonstrated that a hospital-level intervention combining education with physical removal of desflurane vaporisers reduced desflurane-attributable CO₂ equivalent emissions by 86%; however, their study measured drug consumption rather than equipment resale values. Meyer</w:t>
      </w:r>
      <w:r>
        <w:rPr>
          <w:sz w:val="22"/>
          <w:vertAlign w:val="superscript"/>
        </w:rPr>
        <w:t>10</w:t>
      </w:r>
      <w:r>
        <w:rPr>
          <w:sz w:val="22"/>
        </w:rPr>
        <w:t xml:space="preserve"> and Mohammed and Metta</w:t>
      </w:r>
      <w:r>
        <w:rPr>
          <w:sz w:val="22"/>
          <w:vertAlign w:val="superscript"/>
        </w:rPr>
        <w:t>12</w:t>
      </w:r>
      <w:r>
        <w:rPr>
          <w:sz w:val="22"/>
        </w:rPr>
        <w:t xml:space="preserve"> articulated the global and financial rationale for desflurane discontinuation, while Moonesinghe</w:t>
      </w:r>
      <w:r>
        <w:rPr>
          <w:sz w:val="22"/>
          <w:vertAlign w:val="superscript"/>
        </w:rPr>
        <w:t>11</w:t>
      </w:r>
      <w:r>
        <w:rPr>
          <w:sz w:val="22"/>
        </w:rPr>
        <w:t xml:space="preserve"> discussed the broader implications of decommissioning programmes, but none examined downstream effects on the secondary equipment market.</w:t>
      </w:r>
    </w:p>
    <w:p>
      <w:r>
        <w:rPr>
          <w:sz w:val="22"/>
        </w:rPr>
        <w:t>Our findings are consistent with the broader economic literature on regulatory obsolescence,</w:t>
      </w:r>
      <w:r>
        <w:rPr>
          <w:sz w:val="22"/>
          <w:vertAlign w:val="superscript"/>
        </w:rPr>
        <w:t>18</w:t>
      </w:r>
      <w:r>
        <w:rPr>
          <w:sz w:val="22"/>
        </w:rPr>
        <w:t xml:space="preserve"> where anticipated government restrictions lead to anticipatory price declines in secondary markets. The pattern of gradual price erosion during the legislative process (2022–2024), followed by a more pronounced decline post-ban, parallels findings from studies of vehicle emission regulations and their impact on used car markets. The agent-specificity of the price decline—affecting only desflurane while leaving sevoflurane and isoflurane prices unchanged—provides particularly strong evidence of a regulatory, rather than a general market, effect.</w:t>
      </w:r>
    </w:p>
    <w:p>
      <w:r>
        <w:t>Strengths of this study include the use of actual completed sale prices (rather than asking prices), a three-year observation window spanning both the legislative process and ban implementation, the use of multiple complementary statistical approaches (cross-sectional comparison, Spearman correlation, Kendall τ trend test), the availability of natural comparator groups (sevoflurane and isoflurane), and the use of a standardised data source (eBay Terapeak). By restricting our analysis to a single marketplace, we avoided the risk of duplicate counting of cross-listed items.</w:t>
      </w:r>
    </w:p>
    <w:p>
      <w:r>
        <w:t>This study has several limitations. First, eBay represents only one segment of the secondary medical equipment market, and prices may differ on specialised platforms. Second, we could not control for equipment age, service history or cosmetic condition. Third, the post-ban period (January–March 2026) comprised only 17 desflurane, 34 sevoflurane and 44 isoflurane transactions, limiting power for the pre-/post-ban comparison; however, the time-series trend analyses, which utilise all data points, confirmed the progressive decline. Fourth, eBay is a global marketplace; we could not distinguish between EU and non-EU buyers or sellers. Finally, although the three-year observation period coincides with the full legislative trajectory from the European Commission proposal to ban implementation, it does not extend to the pre-proposal period (before April 2022), limiting our ability to establish a true baseline unaffected by regulatory signals.</w:t>
      </w:r>
    </w:p>
    <w:p>
      <w:r>
        <w:t>For healthcare facilities in jurisdictions considering similar regulations, the EU experience suggests that anticipatory planning for equipment transitions is advisable, as secondary market values of regulated vaporisers may decline well before the ban takes effect. The ongoing shift away from desflurane aligns with the broader sustainability agenda in anaesthesia and may accelerate the adoption of lower-GWP alternatives worldwide.</w:t>
      </w:r>
    </w:p>
    <w:p>
      <w:pPr>
        <w:pStyle w:val="Heading1"/>
      </w:pPr>
      <w:r>
        <w:rPr>
          <w:color w:val="000000"/>
        </w:rPr>
        <w:t>Conclusion</w:t>
      </w:r>
    </w:p>
    <w:p>
      <w:r>
        <w:t>The EU desflurane regulation was associated with a progressive, statistically significant decline in secondary market values of desflurane vaporisers. Time-series trend analysis demonstrated that this decline was unique to the regulated agent: sevoflurane and isoflurane vaporiser prices remained stable throughout the study period, serving as natural controls. The price decline began during the legislative process, suggesting anticipatory market responses to cumulative regulatory signals. These findings provide the first empirical evidence that environmental regulation of anaesthetic agents has measurable, agent-specific economic consequences for the secondary medical equipment market.</w:t>
      </w:r>
    </w:p>
    <w:p>
      <w:pPr>
        <w:pStyle w:val="Heading1"/>
      </w:pPr>
      <w:r>
        <w:rPr>
          <w:color w:val="000000"/>
        </w:rPr>
        <w:t>Acknowledgements relating to this article</w:t>
      </w:r>
    </w:p>
    <w:p>
      <w:r>
        <w:rPr>
          <w:b w:val="0"/>
          <w:i w:val="0"/>
          <w:sz w:val="22"/>
        </w:rPr>
        <w:t>Assistance with the article: None.</w:t>
      </w:r>
    </w:p>
    <w:p>
      <w:r>
        <w:rPr>
          <w:b w:val="0"/>
          <w:i w:val="0"/>
          <w:sz w:val="22"/>
        </w:rPr>
        <w:t>Financial support and sponsorship: None.</w:t>
      </w:r>
    </w:p>
    <w:p>
      <w:r>
        <w:rPr>
          <w:b w:val="0"/>
          <w:i w:val="0"/>
          <w:sz w:val="22"/>
        </w:rPr>
        <w:t>Conflicts of interest: None declared.</w:t>
      </w:r>
    </w:p>
    <w:p>
      <w:r>
        <w:rPr>
          <w:b w:val="0"/>
          <w:i w:val="0"/>
          <w:sz w:val="22"/>
        </w:rPr>
        <w:t>Presentation: None.</w:t>
      </w:r>
    </w:p>
    <w:p>
      <w:pPr>
        <w:pStyle w:val="Heading1"/>
      </w:pPr>
      <w:r>
        <w:rPr>
          <w:color w:val="000000"/>
        </w:rPr>
        <w:t>Author contributions</w:t>
      </w:r>
    </w:p>
    <w:p>
      <w:r>
        <w:t>[To be completed by authors using CRediT taxonomy: Conceptualization, Methodology, Software, Validation, Formal analysis, Investigation, Data curation, Writing – original draft, Writing – review &amp; editing, Visualization, Supervision, Project administration]</w:t>
      </w:r>
    </w:p>
    <w:p>
      <w:pPr>
        <w:pStyle w:val="Heading1"/>
      </w:pPr>
      <w:r>
        <w:rPr>
          <w:color w:val="000000"/>
        </w:rPr>
        <w:t>Data availability statement</w:t>
      </w:r>
    </w:p>
    <w:p>
      <w:r>
        <w:t>The datasets generated during this study are available from the corresponding author on reasonable request. The raw data were obtained from eBay Terapeak, a publicly accessible research tool available to eBay sellers.</w:t>
      </w:r>
    </w:p>
    <w:p>
      <w:r>
        <w:br w:type="page"/>
      </w:r>
    </w:p>
    <w:p>
      <w:pPr>
        <w:pStyle w:val="Heading1"/>
      </w:pPr>
      <w:r>
        <w:rPr>
          <w:color w:val="000000"/>
        </w:rPr>
        <w:t>References</w:t>
      </w:r>
    </w:p>
    <w:p>
      <w:pPr>
        <w:spacing w:after="80"/>
      </w:pPr>
      <w:r>
        <w:rPr>
          <w:sz w:val="20"/>
          <w:vertAlign w:val="superscript"/>
        </w:rPr>
        <w:t xml:space="preserve">1 </w:t>
      </w:r>
      <w:r>
        <w:rPr>
          <w:sz w:val="20"/>
        </w:rPr>
        <w:t>Varughese S, Ahmed R. Environmental and occupational considerations of anesthesia: a narrative review and update. Anesth Analg 2021; 133: 826–35.</w:t>
      </w:r>
    </w:p>
    <w:p>
      <w:pPr>
        <w:spacing w:after="80"/>
      </w:pPr>
      <w:r>
        <w:rPr>
          <w:sz w:val="20"/>
          <w:vertAlign w:val="superscript"/>
        </w:rPr>
        <w:t xml:space="preserve">2 </w:t>
      </w:r>
      <w:r>
        <w:rPr>
          <w:sz w:val="20"/>
        </w:rPr>
        <w:t>Regulation (EU) 2024/573 of the European Parliament and of the Council of 7 February 2024 on fluorinated greenhouse gases. Official Journal of the European Union 2024; L 2024/573.</w:t>
      </w:r>
    </w:p>
    <w:p>
      <w:pPr>
        <w:spacing w:after="80"/>
      </w:pPr>
      <w:r>
        <w:rPr>
          <w:sz w:val="20"/>
          <w:vertAlign w:val="superscript"/>
        </w:rPr>
        <w:t xml:space="preserve">3 </w:t>
      </w:r>
      <w:r>
        <w:rPr>
          <w:sz w:val="20"/>
        </w:rPr>
        <w:t>Sherman JD, Chesebro BB. Inhaled anesthetic climate and ozone effects: a narrative review. Anesth Analg 2023; 137: 201–15.</w:t>
      </w:r>
    </w:p>
    <w:p>
      <w:pPr>
        <w:spacing w:after="80"/>
      </w:pPr>
      <w:r>
        <w:rPr>
          <w:sz w:val="20"/>
          <w:vertAlign w:val="superscript"/>
        </w:rPr>
        <w:t xml:space="preserve">4 </w:t>
      </w:r>
      <w:r>
        <w:rPr>
          <w:sz w:val="20"/>
        </w:rPr>
        <w:t>European Society of Anaesthesiology and Intensive Care. ESAIC position statement on the use of desflurane. Eur J Anaesthesiol 2024; 41: 1–3.</w:t>
      </w:r>
    </w:p>
    <w:p>
      <w:pPr>
        <w:spacing w:after="80"/>
      </w:pPr>
      <w:r>
        <w:rPr>
          <w:sz w:val="20"/>
          <w:vertAlign w:val="superscript"/>
        </w:rPr>
        <w:t xml:space="preserve">5 </w:t>
      </w:r>
      <w:r>
        <w:rPr>
          <w:sz w:val="20"/>
        </w:rPr>
        <w:t>Association of Anaesthetists. Environmental sustainability in anaesthesia and perioperative medicine. Anaesthesia 2023; 78: 219–30.</w:t>
      </w:r>
    </w:p>
    <w:p>
      <w:pPr>
        <w:spacing w:after="80"/>
      </w:pPr>
      <w:r>
        <w:rPr>
          <w:sz w:val="20"/>
          <w:vertAlign w:val="superscript"/>
        </w:rPr>
        <w:t xml:space="preserve">6 </w:t>
      </w:r>
      <w:r>
        <w:rPr>
          <w:sz w:val="20"/>
        </w:rPr>
        <w:t>Sulbaek Andersen MP, Sander SP, Nielsen OJ, et al. Inhalation anaesthetics and climate change. Br J Anaesth 2010; 105: 760–6.</w:t>
      </w:r>
    </w:p>
    <w:p>
      <w:pPr>
        <w:spacing w:after="80"/>
      </w:pPr>
      <w:r>
        <w:rPr>
          <w:sz w:val="20"/>
          <w:vertAlign w:val="superscript"/>
        </w:rPr>
        <w:t xml:space="preserve">7 </w:t>
      </w:r>
      <w:r>
        <w:rPr>
          <w:sz w:val="20"/>
        </w:rPr>
        <w:t>Ryan SM, Nielsen CJ. Global warming potential of inhaled anesthetics: application to clinical use. Anesth Analg 2010; 111: 92–8.</w:t>
      </w:r>
    </w:p>
    <w:p>
      <w:pPr>
        <w:spacing w:after="80"/>
      </w:pPr>
      <w:r>
        <w:rPr>
          <w:sz w:val="20"/>
          <w:vertAlign w:val="superscript"/>
        </w:rPr>
        <w:t xml:space="preserve">8 </w:t>
      </w:r>
      <w:r>
        <w:rPr>
          <w:sz w:val="20"/>
        </w:rPr>
        <w:t>McGain F, Muret J, Guen CL, et al. Environmental sustainability in anaesthesia and critical care. Br J Anaesth 2020; 125: 680–92.</w:t>
      </w:r>
    </w:p>
    <w:p>
      <w:pPr>
        <w:spacing w:after="80"/>
      </w:pPr>
      <w:r>
        <w:rPr>
          <w:sz w:val="20"/>
          <w:vertAlign w:val="superscript"/>
        </w:rPr>
        <w:t xml:space="preserve">9 </w:t>
      </w:r>
      <w:r>
        <w:rPr>
          <w:sz w:val="20"/>
        </w:rPr>
        <w:t>NHS England. Decommissioning of desflurane in the NHS. 2023.</w:t>
      </w:r>
    </w:p>
    <w:p>
      <w:pPr>
        <w:spacing w:after="80"/>
      </w:pPr>
      <w:r>
        <w:rPr>
          <w:sz w:val="20"/>
          <w:vertAlign w:val="superscript"/>
        </w:rPr>
        <w:t xml:space="preserve">10 </w:t>
      </w:r>
      <w:r>
        <w:rPr>
          <w:sz w:val="20"/>
        </w:rPr>
        <w:t>Meyer MJ. Desflurane should des-appear: global and financial rationale. Anesth Analg 2020; 131: 1317–22.</w:t>
      </w:r>
    </w:p>
    <w:p>
      <w:pPr>
        <w:spacing w:after="80"/>
      </w:pPr>
      <w:r>
        <w:rPr>
          <w:sz w:val="20"/>
          <w:vertAlign w:val="superscript"/>
        </w:rPr>
        <w:t xml:space="preserve">11 </w:t>
      </w:r>
      <w:r>
        <w:rPr>
          <w:sz w:val="20"/>
        </w:rPr>
        <w:t>Moonesinghe SR. Desflurane decommissioning: more than meets the eye. Anaesthesia 2024; 79: 237–41.</w:t>
      </w:r>
    </w:p>
    <w:p>
      <w:pPr>
        <w:spacing w:after="80"/>
      </w:pPr>
      <w:r>
        <w:rPr>
          <w:sz w:val="20"/>
          <w:vertAlign w:val="superscript"/>
        </w:rPr>
        <w:t xml:space="preserve">12 </w:t>
      </w:r>
      <w:r>
        <w:rPr>
          <w:sz w:val="20"/>
        </w:rPr>
        <w:t>Mohammed A, Metta H. Is it time to bid adieu to desflurane? J Anaesthesiol Clin Pharmacol 2025; 41: 211–2.</w:t>
      </w:r>
    </w:p>
    <w:p>
      <w:pPr>
        <w:spacing w:after="80"/>
      </w:pPr>
      <w:r>
        <w:rPr>
          <w:sz w:val="20"/>
          <w:vertAlign w:val="superscript"/>
        </w:rPr>
        <w:t xml:space="preserve">13 </w:t>
      </w:r>
      <w:r>
        <w:rPr>
          <w:sz w:val="20"/>
        </w:rPr>
        <w:t>Lehmann H, Werning J, Baschnegger H, et al. Minimising the usage of desflurane only by education and removal of the vaporisers – a before-and-after-trial. BMC Anesthesiol 2025; 25: 108.</w:t>
      </w:r>
    </w:p>
    <w:p>
      <w:pPr>
        <w:spacing w:after="80"/>
      </w:pPr>
      <w:r>
        <w:rPr>
          <w:sz w:val="20"/>
          <w:vertAlign w:val="superscript"/>
        </w:rPr>
        <w:t xml:space="preserve">14 </w:t>
      </w:r>
      <w:r>
        <w:rPr>
          <w:sz w:val="20"/>
        </w:rPr>
        <w:t>Rauchenwald V, Heuss-Azeez R, Ganter MT, et al. Sevoflurane versus desflurane—an economic analysis. BMC Anesthesiol 2020; 20: 272.</w:t>
      </w:r>
    </w:p>
    <w:p>
      <w:pPr>
        <w:spacing w:after="80"/>
      </w:pPr>
      <w:r>
        <w:rPr>
          <w:sz w:val="20"/>
          <w:vertAlign w:val="superscript"/>
        </w:rPr>
        <w:t xml:space="preserve">15 </w:t>
      </w:r>
      <w:r>
        <w:rPr>
          <w:sz w:val="20"/>
        </w:rPr>
        <w:t>Beard D, Aston W, Black S, et al. Environmental and economic impacts of end-tidal control of volatile anaesthetics. Open Anaesth J 2025; 19: e18742126.</w:t>
      </w:r>
    </w:p>
    <w:p>
      <w:pPr>
        <w:spacing w:after="80"/>
      </w:pPr>
      <w:r>
        <w:rPr>
          <w:sz w:val="20"/>
          <w:vertAlign w:val="superscript"/>
        </w:rPr>
        <w:t xml:space="preserve">16 </w:t>
      </w:r>
      <w:r>
        <w:rPr>
          <w:sz w:val="20"/>
        </w:rPr>
        <w:t>Buckhead Fair Market Value. 2025 Benchmark Report on Pre-Owned Medical Equipment Prices. Atlanta, GA: BFMV, 2025.</w:t>
      </w:r>
    </w:p>
    <w:p>
      <w:pPr>
        <w:spacing w:after="80"/>
      </w:pPr>
      <w:r>
        <w:rPr>
          <w:sz w:val="20"/>
          <w:vertAlign w:val="superscript"/>
        </w:rPr>
        <w:t xml:space="preserve">17 </w:t>
      </w:r>
      <w:r>
        <w:rPr>
          <w:sz w:val="20"/>
        </w:rPr>
        <w:t>von Elm E, Altman DG, Egger M, et al. The Strengthening the Reporting of Observational Studies in Epidemiology (STROBE) statement: guidelines for reporting observational studies. BMJ 2007; 335: 806–8.</w:t>
      </w:r>
    </w:p>
    <w:p>
      <w:pPr>
        <w:spacing w:after="80"/>
      </w:pPr>
      <w:r>
        <w:rPr>
          <w:sz w:val="20"/>
          <w:vertAlign w:val="superscript"/>
        </w:rPr>
        <w:t xml:space="preserve">18 </w:t>
      </w:r>
      <w:r>
        <w:rPr>
          <w:sz w:val="20"/>
        </w:rPr>
        <w:t>Davis G, Patel N. Regulatory obsolescence and secondary market asset depreciation. J Environ Econ Manage 2019; 95: 142–60.</w:t>
      </w:r>
    </w:p>
    <w:p>
      <w:r>
        <w:br w:type="page"/>
      </w:r>
    </w:p>
    <w:p>
      <w:pPr>
        <w:pStyle w:val="Heading1"/>
      </w:pPr>
      <w:r>
        <w:rPr>
          <w:color w:val="000000"/>
        </w:rPr>
        <w:t>Figure legends</w:t>
      </w:r>
    </w:p>
    <w:p>
      <w:r>
        <w:rPr>
          <w:b/>
          <w:i w:val="0"/>
          <w:sz w:val="20"/>
        </w:rPr>
        <w:t xml:space="preserve">Fig. 1. </w:t>
      </w:r>
      <w:r>
        <w:rPr>
          <w:b w:val="0"/>
          <w:i w:val="0"/>
          <w:sz w:val="20"/>
        </w:rPr>
        <w:t>Time series of eBay completed sale prices for desflurane (red), sevoflurane (blue) and isoflurane (green) vaporisers over three years (March 2023 to March 2026). Vertical dashed lines indicate key EU regulatory milestones. Curved lines represent LOWESS trend estimates (fraction = 0.3). Data source: eBay Terapeak.</w:t>
      </w:r>
    </w:p>
    <w:p>
      <w:r>
        <w:rPr>
          <w:b/>
          <w:i w:val="0"/>
          <w:sz w:val="20"/>
        </w:rPr>
        <w:t xml:space="preserve">Fig. 2. </w:t>
      </w:r>
      <w:r>
        <w:rPr>
          <w:b w:val="0"/>
          <w:i w:val="0"/>
          <w:sz w:val="20"/>
        </w:rPr>
        <w:t>Box plot comparison of vaporiser prices before and after the EU desflurane ban (1 January 2026). Individual data points are shown as jittered dots. Data source: eBay Terapeak.</w:t>
      </w:r>
    </w:p>
    <w:p>
      <w:r>
        <w:rPr>
          <w:b/>
          <w:i w:val="0"/>
          <w:sz w:val="20"/>
        </w:rPr>
        <w:t xml:space="preserve">Fig. 3. </w:t>
      </w:r>
      <w:r>
        <w:rPr>
          <w:b w:val="0"/>
          <w:i w:val="0"/>
          <w:sz w:val="20"/>
        </w:rPr>
        <w:t>Monthly median prices of anaesthetic vaporisers on eBay. Annotations indicate the number of transactions per month (n). Data source: eBay Terapeak.</w:t>
      </w:r>
    </w:p>
    <w:p>
      <w:r>
        <w:rPr>
          <w:b/>
          <w:i w:val="0"/>
          <w:sz w:val="20"/>
        </w:rPr>
        <w:t xml:space="preserve">Fig. 4. </w:t>
      </w:r>
      <w:r>
        <w:rPr>
          <w:b w:val="0"/>
          <w:i w:val="0"/>
          <w:sz w:val="20"/>
        </w:rPr>
        <w:t>Price distribution histograms for each vaporiser type, comparing pre-ban (solid fill) and post-ban (hatched) periods. Data source: eBay Terapeak.</w:t>
      </w:r>
    </w:p>
    <w:p>
      <w:r>
        <w:rPr>
          <w:b/>
          <w:i w:val="0"/>
          <w:sz w:val="20"/>
        </w:rPr>
        <w:t xml:space="preserve">Fig. 5. </w:t>
      </w:r>
      <w:r>
        <w:rPr>
          <w:b w:val="0"/>
          <w:i w:val="0"/>
          <w:sz w:val="20"/>
        </w:rPr>
        <w:t>Anaesthetic vaporiser prices mapped against the EU regulatory timeline. Shaded regions indicate regulatory phases. Data source: eBay Terapeak.</w:t>
      </w:r>
    </w:p>
    <w:p>
      <w:r>
        <w:rPr>
          <w:b/>
          <w:i w:val="0"/>
          <w:sz w:val="20"/>
        </w:rPr>
        <w:t xml:space="preserve">Fig. 6. </w:t>
      </w:r>
      <w:r>
        <w:rPr>
          <w:b w:val="0"/>
          <w:i w:val="0"/>
          <w:sz w:val="20"/>
        </w:rPr>
        <w:t>Quarterly median price trends (upper panel) and sales volume (lower panel). Data source: eBay Terapeak.</w:t>
      </w:r>
    </w:p>
    <w:p>
      <w:r>
        <w:br w:type="page"/>
      </w:r>
    </w:p>
    <w:p>
      <w:pPr>
        <w:pStyle w:val="Heading1"/>
      </w:pPr>
      <w:r>
        <w:rPr>
          <w:color w:val="000000"/>
        </w:rPr>
        <w:t>Supplementary Digital Content</w:t>
      </w:r>
    </w:p>
    <w:p>
      <w:r>
        <w:rPr>
          <w:b/>
          <w:i w:val="0"/>
          <w:sz w:val="20"/>
        </w:rPr>
        <w:t xml:space="preserve">Table S1. </w:t>
      </w:r>
      <w:r>
        <w:rPr>
          <w:b w:val="0"/>
          <w:i/>
          <w:sz w:val="20"/>
        </w:rPr>
        <w:t>Current eBay asking prices (active listings) by vaporiser type, collected 27 March 2026. Values are mean (SD), median (IQR) in US dollars. P value from Kruskal–Wallis test across three agent types.</w:t>
      </w:r>
    </w:p>
    <w:tbl>
      <w:tblPr>
        <w:tblStyle w:val="TableGrid"/>
        <w:tblW w:type="auto" w:w="0"/>
        <w:jc w:val="center"/>
        <w:tblLook w:firstColumn="1" w:firstRow="1" w:lastColumn="0" w:lastRow="0" w:noHBand="0" w:noVBand="1" w:val="04A0"/>
      </w:tblPr>
      <w:tblGrid>
        <w:gridCol w:w="1473"/>
        <w:gridCol w:w="1473"/>
        <w:gridCol w:w="1473"/>
        <w:gridCol w:w="1473"/>
        <w:gridCol w:w="1473"/>
        <w:gridCol w:w="1473"/>
      </w:tblGrid>
      <w:tr>
        <w:tc>
          <w:tcPr>
            <w:tcW w:type="dxa" w:w="1473"/>
            <w:shd w:fill="D9E2F3" w:val="clear"/>
          </w:tcPr>
          <w:p>
            <w:pPr>
              <w:jc w:val="center"/>
            </w:pPr>
            <w:r>
              <w:rPr>
                <w:b/>
                <w:sz w:val="18"/>
              </w:rPr>
              <w:t>Agent</w:t>
            </w:r>
          </w:p>
        </w:tc>
        <w:tc>
          <w:tcPr>
            <w:tcW w:type="dxa" w:w="1473"/>
            <w:shd w:fill="D9E2F3" w:val="clear"/>
          </w:tcPr>
          <w:p>
            <w:pPr>
              <w:jc w:val="center"/>
            </w:pPr>
            <w:r>
              <w:rPr>
                <w:b/>
                <w:sz w:val="18"/>
              </w:rPr>
              <w:t>n</w:t>
            </w:r>
          </w:p>
        </w:tc>
        <w:tc>
          <w:tcPr>
            <w:tcW w:type="dxa" w:w="1473"/>
            <w:shd w:fill="D9E2F3" w:val="clear"/>
          </w:tcPr>
          <w:p>
            <w:pPr>
              <w:jc w:val="center"/>
            </w:pPr>
            <w:r>
              <w:rPr>
                <w:b/>
                <w:sz w:val="18"/>
              </w:rPr>
              <w:t>Mean (SD)</w:t>
            </w:r>
          </w:p>
        </w:tc>
        <w:tc>
          <w:tcPr>
            <w:tcW w:type="dxa" w:w="1473"/>
            <w:shd w:fill="D9E2F3" w:val="clear"/>
          </w:tcPr>
          <w:p>
            <w:pPr>
              <w:jc w:val="center"/>
            </w:pPr>
            <w:r>
              <w:rPr>
                <w:b/>
                <w:sz w:val="18"/>
              </w:rPr>
              <w:t>Median (IQR)</w:t>
            </w:r>
          </w:p>
        </w:tc>
        <w:tc>
          <w:tcPr>
            <w:tcW w:type="dxa" w:w="1473"/>
            <w:shd w:fill="D9E2F3" w:val="clear"/>
          </w:tcPr>
          <w:p>
            <w:pPr>
              <w:jc w:val="center"/>
            </w:pPr>
            <w:r>
              <w:rPr>
                <w:b/>
                <w:sz w:val="18"/>
              </w:rPr>
              <w:t>Range</w:t>
            </w:r>
          </w:p>
        </w:tc>
        <w:tc>
          <w:tcPr>
            <w:tcW w:type="dxa" w:w="1473"/>
            <w:shd w:fill="D9E2F3" w:val="clear"/>
          </w:tcPr>
          <w:p>
            <w:pPr>
              <w:jc w:val="center"/>
            </w:pPr>
            <w:r>
              <w:rPr>
                <w:b/>
                <w:sz w:val="18"/>
              </w:rPr>
              <w:t>P value</w:t>
            </w:r>
          </w:p>
        </w:tc>
      </w:tr>
      <w:tr>
        <w:tc>
          <w:tcPr>
            <w:tcW w:type="dxa" w:w="1473"/>
          </w:tcPr>
          <w:p>
            <w:pPr>
              <w:jc w:val="left"/>
            </w:pPr>
            <w:r>
              <w:rPr>
                <w:sz w:val="18"/>
              </w:rPr>
              <w:t>Desflurane</w:t>
            </w:r>
          </w:p>
        </w:tc>
        <w:tc>
          <w:tcPr>
            <w:tcW w:type="dxa" w:w="1473"/>
          </w:tcPr>
          <w:p>
            <w:pPr>
              <w:jc w:val="center"/>
            </w:pPr>
            <w:r>
              <w:rPr>
                <w:sz w:val="18"/>
              </w:rPr>
              <w:t>60</w:t>
            </w:r>
          </w:p>
        </w:tc>
        <w:tc>
          <w:tcPr>
            <w:tcW w:type="dxa" w:w="1473"/>
          </w:tcPr>
          <w:p>
            <w:pPr>
              <w:jc w:val="center"/>
            </w:pPr>
            <w:r>
              <w:rPr>
                <w:sz w:val="18"/>
              </w:rPr>
              <w:t>$235 (225)</w:t>
            </w:r>
          </w:p>
        </w:tc>
        <w:tc>
          <w:tcPr>
            <w:tcW w:type="dxa" w:w="1473"/>
          </w:tcPr>
          <w:p>
            <w:pPr>
              <w:jc w:val="center"/>
            </w:pPr>
            <w:r>
              <w:rPr>
                <w:sz w:val="18"/>
              </w:rPr>
              <w:t>$178 (80–298)</w:t>
            </w:r>
          </w:p>
        </w:tc>
        <w:tc>
          <w:tcPr>
            <w:tcW w:type="dxa" w:w="1473"/>
          </w:tcPr>
          <w:p>
            <w:pPr>
              <w:jc w:val="center"/>
            </w:pPr>
            <w:r>
              <w:rPr>
                <w:sz w:val="18"/>
              </w:rPr>
              <w:t>$30–1336</w:t>
            </w:r>
          </w:p>
        </w:tc>
        <w:tc>
          <w:tcPr>
            <w:tcW w:type="dxa" w:w="1473"/>
          </w:tcPr>
          <w:p>
            <w:pPr>
              <w:jc w:val="center"/>
            </w:pPr>
            <w:r>
              <w:rPr>
                <w:sz w:val="18"/>
              </w:rPr>
              <w:t>&lt;0.001</w:t>
            </w:r>
          </w:p>
        </w:tc>
      </w:tr>
      <w:tr>
        <w:tc>
          <w:tcPr>
            <w:tcW w:type="dxa" w:w="1473"/>
          </w:tcPr>
          <w:p>
            <w:pPr>
              <w:jc w:val="left"/>
            </w:pPr>
            <w:r>
              <w:rPr>
                <w:sz w:val="18"/>
              </w:rPr>
              <w:t>Sevoflurane</w:t>
            </w:r>
          </w:p>
        </w:tc>
        <w:tc>
          <w:tcPr>
            <w:tcW w:type="dxa" w:w="1473"/>
          </w:tcPr>
          <w:p>
            <w:pPr>
              <w:jc w:val="center"/>
            </w:pPr>
            <w:r>
              <w:rPr>
                <w:sz w:val="18"/>
              </w:rPr>
              <w:t>21</w:t>
            </w:r>
          </w:p>
        </w:tc>
        <w:tc>
          <w:tcPr>
            <w:tcW w:type="dxa" w:w="1473"/>
          </w:tcPr>
          <w:p>
            <w:pPr>
              <w:jc w:val="center"/>
            </w:pPr>
            <w:r>
              <w:rPr>
                <w:sz w:val="18"/>
              </w:rPr>
              <w:t>$1263 (552)</w:t>
            </w:r>
          </w:p>
        </w:tc>
        <w:tc>
          <w:tcPr>
            <w:tcW w:type="dxa" w:w="1473"/>
          </w:tcPr>
          <w:p>
            <w:pPr>
              <w:jc w:val="center"/>
            </w:pPr>
            <w:r>
              <w:rPr>
                <w:sz w:val="18"/>
              </w:rPr>
              <w:t>$1277 (801–1700)</w:t>
            </w:r>
          </w:p>
        </w:tc>
        <w:tc>
          <w:tcPr>
            <w:tcW w:type="dxa" w:w="1473"/>
          </w:tcPr>
          <w:p>
            <w:pPr>
              <w:jc w:val="center"/>
            </w:pPr>
            <w:r>
              <w:rPr>
                <w:sz w:val="18"/>
              </w:rPr>
              <w:t>$397–2527</w:t>
            </w:r>
          </w:p>
        </w:tc>
        <w:tc>
          <w:tcPr>
            <w:tcW w:type="dxa" w:w="1473"/>
          </w:tcPr>
          <w:p>
            <w:pPr>
              <w:jc w:val="center"/>
            </w:pPr>
            <w:r>
              <w:rPr>
                <w:sz w:val="18"/>
              </w:rPr>
            </w:r>
          </w:p>
        </w:tc>
      </w:tr>
      <w:tr>
        <w:tc>
          <w:tcPr>
            <w:tcW w:type="dxa" w:w="1473"/>
          </w:tcPr>
          <w:p>
            <w:pPr>
              <w:jc w:val="left"/>
            </w:pPr>
            <w:r>
              <w:rPr>
                <w:sz w:val="18"/>
              </w:rPr>
              <w:t>Isoflurane</w:t>
            </w:r>
          </w:p>
        </w:tc>
        <w:tc>
          <w:tcPr>
            <w:tcW w:type="dxa" w:w="1473"/>
          </w:tcPr>
          <w:p>
            <w:pPr>
              <w:jc w:val="center"/>
            </w:pPr>
            <w:r>
              <w:rPr>
                <w:sz w:val="18"/>
              </w:rPr>
              <w:t>39</w:t>
            </w:r>
          </w:p>
        </w:tc>
        <w:tc>
          <w:tcPr>
            <w:tcW w:type="dxa" w:w="1473"/>
          </w:tcPr>
          <w:p>
            <w:pPr>
              <w:jc w:val="center"/>
            </w:pPr>
            <w:r>
              <w:rPr>
                <w:sz w:val="18"/>
              </w:rPr>
              <w:t>$651 (401)</w:t>
            </w:r>
          </w:p>
        </w:tc>
        <w:tc>
          <w:tcPr>
            <w:tcW w:type="dxa" w:w="1473"/>
          </w:tcPr>
          <w:p>
            <w:pPr>
              <w:jc w:val="center"/>
            </w:pPr>
            <w:r>
              <w:rPr>
                <w:sz w:val="18"/>
              </w:rPr>
              <w:t>$556 (367–832)</w:t>
            </w:r>
          </w:p>
        </w:tc>
        <w:tc>
          <w:tcPr>
            <w:tcW w:type="dxa" w:w="1473"/>
          </w:tcPr>
          <w:p>
            <w:pPr>
              <w:jc w:val="center"/>
            </w:pPr>
            <w:r>
              <w:rPr>
                <w:sz w:val="18"/>
              </w:rPr>
              <w:t>$185–1761</w:t>
            </w:r>
          </w:p>
        </w:tc>
        <w:tc>
          <w:tcPr>
            <w:tcW w:type="dxa" w:w="1473"/>
          </w:tcPr>
          <w:p>
            <w:pPr>
              <w:jc w:val="center"/>
            </w:pPr>
            <w:r>
              <w:rPr>
                <w:sz w:val="18"/>
              </w:rPr>
            </w:r>
          </w:p>
        </w:tc>
      </w:tr>
    </w:tbl>
    <w:sectPr w:rsidR="00FC693F" w:rsidRPr="0006063C" w:rsidSect="00034616">
      <w:pgSz w:w="12240" w:h="15840"/>
      <w:pgMar w:top="1701" w:right="1701"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