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STROBE Statement—Checklist of items that should be included in reports of cross-sectional studies</w:t>
      </w:r>
    </w:p>
    <w:p>
      <w:pPr>
        <w:jc w:val="center"/>
      </w:pPr>
      <w:r>
        <w:rPr>
          <w:i/>
          <w:sz w:val="20"/>
        </w:rPr>
        <w:t>Impact of the EU desflurane regulation on secondary market prices of anaesthetic vaporisers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Section/Topic</w:t>
            </w:r>
          </w:p>
        </w:tc>
        <w:tc>
          <w:tcPr>
            <w:tcW w:type="dxa" w:w="3784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Item No.</w:t>
            </w:r>
          </w:p>
        </w:tc>
        <w:tc>
          <w:tcPr>
            <w:tcW w:type="dxa" w:w="3784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Recommendation</w:t>
            </w:r>
          </w:p>
        </w:tc>
        <w:tc>
          <w:tcPr>
            <w:tcW w:type="dxa" w:w="3784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Reported on page/section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Title and abstract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Indicate the study’s design with a commonly used term in the title or abstract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Title: “cross-sectional time-series analysis”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Provide in the abstract an informative and balanced summary of what was done and found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Abstract: structured abstract with BACKGROUND, OBJECTIVE, DESIGN, SETTING, MAIN OUTCOME MEASURES, RESULTS, CONCLUSION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Introduction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Background/rationale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Explain the scientific background and rationale for the investigation being reported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Introduction, paragraphs 1–4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Objectives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State specific objectives, including any prespecified hypotheses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Introduction, final paragraph: hypothesis that desflurane prices would decline while sevoflurane/isoflurane remain stable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Methods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Study design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Present key elements of study design early in the paper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“Study design and data source”: cross-sectional time-series analysis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Setting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Methods: eBay/Terapeak, data collected March 2026, covering 28 March 2023–24 March 2026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Participants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Give the eligibility criteria, and the sources and methods of selection of participants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“Eligibility criteria”: inclusion/exclusion criteria detailed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Variables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Clearly define all outcomes, exposures, predictors, potential confounders, and effect modifiers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“Variables”: primary outcome (sale price), exposure (regulatory period), agent type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Data sources/measurement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For each variable of interest, give sources of data and details of methods of assessment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Methods: Terapeak product research tool; automated data retrieval with manual screening against eligibility criteria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Bias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Describe any efforts to address potential sources of bias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Methods/Discussion: single marketplace to avoid cross-listing duplicates; natural comparator groups (sevoflurane, isoflurane)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Study size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Explain how the study size was arrived at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“Statistical analysis”: all available transactions within Terapeak window; no a priori sample size calculation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Quantitative variables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Explain how quantitative variables were handled in the analyses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Methods: prices in USD; regulatory period classified by milestones; trend analyses used continuous (days) and ordinal (phase 1–5) variables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Statistical methods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Describe all statistical methods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“Statistical analysis”: Mann–Whitney U, Welch’s t-test, Spearman ρ, Kendall τ, Kruskal–Wallis, Cohen’s d, LOWESS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Describe any methods used to examine subgroups and interactions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Analyses performed separately for each agent type; supplementary asking-price analysis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(c) Explain how missing data were addressed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“Eligibility criteria”: listings with missing price data excluded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(d) If applicable, describe analytical methods taking account of sampling strategy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Not applicable (complete enumeration of available sales)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(e) Describe any sensitivity analyses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Welch’s t-test as sensitivity analysis; quarterly aggregation for trend robustness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Results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Participants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Report numbers of individuals at each stage of study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Results, paragraph 1: 1,033 total sales after exclusion criteria applied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Give reasons for non-participation at each stage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“Eligibility criteria”: exclusion criteria listed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(c) Consider use of a flow diagram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Not applicable (marketplace data, not participant recruitment)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Descriptive data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Give characteristics of study participants and information on exposures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Results, Table 1: n, mean, SD, median, IQR, range by agent and period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Indicate number of participants with missing data for each variable of interest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No missing data after eligibility screening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Outcome data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Report numbers of outcome events or summary measures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Results, Tables 1–2: all summary statistics and trend results by agent type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Main results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Give unadjusted estimates and, if applicable, confounder-adjusted estimates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Results: Spearman ρ, Kendall τ, Mann–Whitney U P values, Cohen’s d reported for each agent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Report category boundaries when continuous variables were categorized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Methods, “Variables”: regulatory period cutpoints defined (April 2022, October 2023, February 2024, January 2026)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(c) If relevant, consider translating estimates into meaningful clinical measures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Results: percentage price decline (31%) and dollar values reported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Other analyses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Report other analyses done—e.g. subgroup, interaction, or sensitivity analyses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Results: supplementary asking-price cross-sectional analysis; quarterly trend analysis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Discussion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Key results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Summarise key results with reference to study objectives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Discussion, paragraph 1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Limitations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 limitations, potential bias, imprecision, and multiplicity of analyses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Discussion, “Limitations” paragraph: single marketplace, no condition data, small post-ban n, global marketplace, no pre-proposal baseline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Interpretation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Give a cautious overall interpretation considering objectives, limitations, multiplicity of analyses, similar studies, and other relevant evidence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Discussion, paragraphs 2–4: comparison with literature, regulatory obsolescence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Generalisability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 the generalisability (external validity) of the study results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Discussion, final paragraphs: implications for facilities in other jurisdictions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Other information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Funding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Give the source of funding and the role of the funders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Acknowledgements: no external funding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