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Divergent hazard shapes of tuberculosis treatment loss to follow-up: a reproducible analysis of published curves quantifying the heterogeneity that hinders a unified retention intervention</w:t>
      </w:r>
    </w:p>
    <w:p>
      <w:pPr>
        <w:spacing w:before="200"/>
      </w:pPr>
      <w:r>
        <w:t>Article type: Research article (short communication)</w:t>
      </w:r>
    </w:p>
    <w:p>
      <w:r>
        <w:rPr>
          <w:b/>
          <w:sz w:val="26"/>
        </w:rPr>
        <w:t>Authors</w:t>
      </w:r>
    </w:p>
    <w:p>
      <w:pPr>
        <w:spacing w:before="120"/>
      </w:pPr>
      <w:r>
        <w:t>Tatsuki Onishi [AUTHOR ORDER / ADDITIONAL CO-AUTHORS TO BE CONFIRMED]</w:t>
      </w:r>
    </w:p>
    <w:p>
      <w:r>
        <w:rPr>
          <w:b/>
          <w:sz w:val="26"/>
        </w:rPr>
        <w:t>Affiliations</w:t>
      </w:r>
    </w:p>
    <w:p>
      <w:pPr>
        <w:spacing w:before="120"/>
      </w:pPr>
      <w:r>
        <w:t>1. [Institution, Department, City, Country — TO BE CONFIRMED]</w:t>
      </w:r>
    </w:p>
    <w:p>
      <w:r>
        <w:rPr>
          <w:b/>
          <w:sz w:val="26"/>
        </w:rPr>
        <w:t>Corresponding author</w:t>
      </w:r>
    </w:p>
    <w:p>
      <w:pPr>
        <w:spacing w:before="120"/>
      </w:pPr>
      <w:r>
        <w:t>Tatsuki Onishi. Email: bougtoir@gmail.com. [Postal address / ORCID — TO BE CONFIRMED]</w:t>
      </w:r>
    </w:p>
    <w:p>
      <w:r>
        <w:rPr>
          <w:b/>
          <w:sz w:val="26"/>
        </w:rPr>
        <w:t>Declarations</w:t>
      </w:r>
    </w:p>
    <w:p>
      <w:pPr>
        <w:spacing w:before="120"/>
      </w:pPr>
      <w:r>
        <w:t>Competing interests: none declared. Funding: none. Ethics approval and consent to participate: not applicable (secondary analysis of published aggregate data).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