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b/>
        </w:rPr>
        <w:t>Table 1. Corrected geographic-distance models and matrix-level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Metric</w:t>
            </w:r>
          </w:p>
        </w:tc>
        <w:tc>
          <w:tcPr>
            <w:tcW w:type="dxa" w:w="2340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Neanderthal</w:t>
            </w:r>
          </w:p>
        </w:tc>
        <w:tc>
          <w:tcPr>
            <w:tcW w:type="dxa" w:w="2340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Denisovan</w:t>
            </w:r>
          </w:p>
        </w:tc>
        <w:tc>
          <w:tcPr>
            <w:tcW w:type="dxa" w:w="2340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Interpretation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Populations / unique pairs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66 / 2,145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66 / 2,145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Same pair set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Raw sharing-distance 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-0.4847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-0.4656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Pairwise descriptive correlation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Partial 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-0.3105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-0.3001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Controls maximum admixture and same continent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Distance-only R²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0.2350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0.2167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Uncorrected model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Corrected R²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0.5100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0.4953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Distance plus two confounders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Non-admixed Mantel 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-0.6157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-0.5809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9,999 label permutations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Mantel p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0.0001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0.0001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Matrix-level inference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FDR q&lt;0.10 positive outliers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Non-admixed pairs</w:t>
            </w:r>
          </w:p>
        </w:tc>
      </w:tr>
    </w:tbl>
    <w:p>
      <w:pPr>
        <w:spacing w:line="240" w:lineRule="auto"/>
      </w:pPr>
      <w:r>
        <w:rPr>
          <w:sz w:val="18"/>
        </w:rPr>
        <w:t>Note. Partial correlations use pairwise rows and should not be interpreted as independent-sample inference. Mantel tests used non-admixed population matrices.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