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four pre-specified sensitivity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analyses for maximum plausible audit impact, within-prefecture variance decomposition, code correlations and a log-transformed linear mixed model 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3144 words; structured abstract 247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