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2.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Figure 6. Four-step ECD deployment pipeline: LiNGAM bootstrap → DPI spectral analysis → Hodge decomposition → Interventionability scoring.</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r/>
      <w:r>
        <w:rPr>
          <w:b/>
        </w:rPr>
        <w:t>Figure 6</w:t>
      </w:r>
      <w:r>
        <w:t>: The four-step ECD deployment pipeline. Step 1: LiNGAM bootstrap (1000 iterations) produces a causal DAG with edge confidences. Step 2: DPI-augmented spectral analysis constructs a directed cyclic graph. Step 3: Hodge decomposition separates gradient (DAG) and curl (feedback) components, yielding causal potential φ. Step 4: Interventionability scoring maps φ to clinical actionability ι. Bottom: Hill's nine criteria coverage achieved by the ensemble.</w:t>
      </w:r>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pPr>
        <w:spacing w:before="240"/>
        <w:jc w:val="center"/>
      </w:pPr>
      <w:r>
        <w:drawing>
          <wp:inline xmlns:a="http://schemas.openxmlformats.org/drawingml/2006/main" xmlns:pic="http://schemas.openxmlformats.org/drawingml/2006/picture">
            <wp:extent cx="5029200" cy="3336517"/>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6517"/>
                    </a:xfrm>
                    <a:prstGeom prst="rect"/>
                  </pic:spPr>
                </pic:pic>
              </a:graphicData>
            </a:graphic>
          </wp:inline>
        </w:drawing>
      </w:r>
    </w:p>
    <w:p>
      <w:pPr>
        <w:spacing w:before="80" w:after="240"/>
        <w:jc w:val="center"/>
      </w:pPr>
      <w:r>
        <w:rPr>
          <w:i/>
          <w:sz w:val="18"/>
        </w:rPr>
        <w:t>Figure 7. Causal potential φ vs. clinical interventionability ι. The inverse relationship demonstrates that mathematical quantities correspond to clinical actionability.</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r/>
      <w:r>
        <w:rPr>
          <w:b/>
        </w:rPr>
        <w:t>Figure 7</w:t>
      </w:r>
      <w:r>
        <w:t>: Causal potential φ vs. clinical interventionability ι for all five variables. Age (most upstream, φ = 0) has zero interventionability; Cholesterol and RestingBP (downstream) have high interventionability (ι = 0.9 and 0.8, respectively) with well-established pharmacological interventions (statins, antihypertensives). The inverse relationship between φ and ι demonstrates that the mathematical quantity naturally corresponds to clinical actionability.</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497893"/>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497893"/>
                    </a:xfrm>
                    <a:prstGeom prst="rect"/>
                  </pic:spPr>
                </pic:pic>
              </a:graphicData>
            </a:graphic>
          </wp:inline>
        </w:drawing>
      </w:r>
    </w:p>
    <w:p>
      <w:pPr>
        <w:spacing w:before="80" w:after="240"/>
        <w:jc w:val="center"/>
      </w:pPr>
      <w:r>
        <w:rPr>
          <w:i/>
          <w:sz w:val="18"/>
        </w:rPr>
        <w:t>Figure 1.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1).</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Figure 3. Three-method causal direction comparison across all edge pairs.</w:t>
      </w:r>
    </w:p>
    <w:p>
      <w:r>
        <w:t>Comparing causal directions estimated by LiNGAM (DAG), spectral causality (α = 0.6), and DPI (α = 0) (Figure 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Figure 4. LiNGAM DAG (left) vs. Spectral Causality DCG (right). Dashed lines: feedback edges.</w:t>
      </w:r>
    </w:p>
    <w:p>
      <w:r>
        <w:t xml:space="preserve">When spectral causality suggests a direction opposite to LiNGAM (Figure 4),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5),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Figure 5.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r/>
      <w:r>
        <w:rPr>
          <w:b/>
        </w:rPr>
        <w:t>Figure 8</w:t>
      </w:r>
      <w:r>
        <w:t>: Clinical feedback network with edge-level feedback rates from Hodge decomposition. Green solid arrows: unidirectional edges (&lt; 10% feedback). Orange dashed arrows: weak feedback (10–50%). Red thick double arrows: strong feedback (&gt; 50%). The MaxHR ↔ STDepression edge (73% feedback) represents the clinically important exercise–ischemia feedback loop that a DAG assumption would miss. Node annotations show interventionability scores ι.</w:t>
      </w:r>
    </w:p>
    <w:p>
      <w:pPr>
        <w:pStyle w:val="Heading2"/>
      </w:pPr>
      <w:r>
        <w:t>8.3 Purpose-Dependent Pruning Thresholds</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Figure 8. Clinical feedback network. Edge colors: green = unidirectional, orange = weak feedback, red = strong feedback.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