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Reproducibly digitizable dropout curves are scarce and their hazard shapes heterogeneous: a scoping search and Weibull analysis of loss to follow-up in tuberculosis and HIV treatment</w:t>
      </w:r>
    </w:p>
    <w:p>
      <w:pPr>
        <w:jc w:val="center"/>
      </w:pPr>
      <w:r>
        <w:rPr>
          <w:i/>
        </w:rPr>
        <w:t>Original Research Article</w:t>
      </w:r>
    </w:p>
    <w:p>
      <w:r>
        <w:rPr>
          <w:b/>
          <w:sz w:val="26"/>
        </w:rPr>
        <w:t>Abstract</w:t>
      </w:r>
    </w:p>
    <w:p>
      <w:pPr>
        <w:spacing w:before="120"/>
      </w:pPr>
      <w:r>
        <w:rPr>
          <w:b/>
        </w:rPr>
        <w:t>Objectives</w:t>
      </w:r>
      <w:r>
        <w:t xml:space="preserve"> Loss to follow-up (LTFU) undermines tuberculosis (TB) and HIV treatment; its determinants are context-dependent and retention interventions inconsistent, yet support is rarely targeted to *when* patients disengage. We asked how often dropout timing (the hazard shape) is reported reproducibly and whether it is consistent within and across diseases.</w:t>
      </w:r>
    </w:p>
    <w:p>
      <w:pPr>
        <w:spacing w:before="80"/>
      </w:pPr>
      <w:r>
        <w:rPr>
          <w:b/>
        </w:rPr>
        <w:t>Methods</w:t>
      </w:r>
      <w:r>
        <w:t xml:space="preserve"> A reproducible Europe PMC search (open-access TB/HIV reports mentioning a time-to-event curve; 7594 records, 2026-07-17) required a single, digitizable dropout curve (Kaplan–Meier or competing-risk cumulative incidence), not a final proportion. Eligible curves were digitized and fitted with a Weibull model F(t)=1−exp(−(t/λ)^k); the shape k (k&gt;1 increasing-failure-rate [IFR]; k&lt;1 decreasing-failure-rate [DFR]) was bootstrapped (95% confidence interval [CI]) and compared with exponential and log-normal fits by the Akaike information criterion (AIC).</w:t>
      </w:r>
    </w:p>
    <w:p>
      <w:pPr>
        <w:spacing w:before="80"/>
      </w:pPr>
      <w:r>
        <w:rPr>
          <w:b/>
        </w:rPr>
        <w:t>Results</w:t>
      </w:r>
      <w:r>
        <w:t xml:space="preserve"> Despite 7594 records, only 7 infectious-disease curves from 6 studies qualified: two TB cohorts (Ethiopia, China) and five HIV/ART curves (Ethiopia, Maputo [2 curves], Malawi, Gambella); most reported only a final proportion. The shape parameter ranged k=0.44–1.86 (4 IFR, 3 DFR) and diverged </w:t>
      </w:r>
      <w:r>
        <w:rPr>
          <w:b/>
        </w:rPr>
        <w:t>within</w:t>
      </w:r>
      <w:r>
        <w:t xml:space="preserve"> diseases: the two TB cohorts fell on opposite sides of k=1, and the HIV/ART cohorts likewise split. A non-infectious antipsychotic contrast was also DFR.</w:t>
      </w:r>
    </w:p>
    <w:p>
      <w:pPr>
        <w:spacing w:before="80"/>
      </w:pPr>
      <w:r>
        <w:rPr>
          <w:b/>
        </w:rPr>
        <w:t>Conclusions</w:t>
      </w:r>
      <w:r>
        <w:t xml:space="preserve"> Reproducibly usable, time-resolved dropout curves are scarce, and where they exist the hazard shape is heterogeneous within TB and within HIV alike. Support timing therefore cannot be assumed from the disease label but must be located empirically, which also makes an intervention's effect verifiable. The core barrier is a reporting gap: time-to-LTFU curves or individual patient data must be published routinely.</w:t>
      </w:r>
    </w:p>
    <w:p>
      <w:pPr>
        <w:spacing w:before="80"/>
      </w:pPr>
      <w:r>
        <w:rPr>
          <w:b/>
        </w:rPr>
        <w:t>Keywords</w:t>
      </w:r>
      <w:r>
        <w:t xml:space="preserve"> Tuberculosis; HIV; Loss to follow-up; Retention in care; Scoping search; Treatment adherence; Weibull; Hazard function; Survival analysis; Reporting</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The hazard shape carries direct operational meaning: an increasing hazard (k&gt;1) argues for intensified support later in treatment, a decreasing hazard (k&lt;1) for front-loading it in the earliest weeks. Making, and later verifying, such timing decisions requires the shape to be recoverable from the published evidence in the first place. We therefore treated this as a scoping question with a deliberately unusual eligibility criterion — that a study make dropout *visible over time* in a reproducibly digitizable curve, not merely as a final proportion — and asked two things: how often is dropout timing reported in that usable form, and, where it is, is the Weibull hazard shape consistent within a disease and between diseases? To our knowledge no prior review has used reproducible visualization of dropout timing as its inclusion criterion.</w:t>
      </w:r>
    </w:p>
    <w:p>
      <w:r>
        <w:rPr>
          <w:b/>
          <w:sz w:val="26"/>
        </w:rPr>
        <w:t>Methods</w:t>
      </w:r>
    </w:p>
    <w:p>
      <w:pPr>
        <w:spacing w:before="120"/>
      </w:pPr>
      <w:r>
        <w:rPr>
          <w:b/>
        </w:rPr>
        <w:t>Search and eligibility.</w:t>
      </w:r>
      <w:r>
        <w:t xml:space="preserve"> We queried Europe PMC (open-access TB/HIV LTFU or retention reports mentioning a Kaplan–Meier, survival or cumulative-incidence curve) on 2026-07-17, which identified 7594 records; the exact query and a record sample are saved in the repository and regenerated by scripts/search_scoping.py. Our eligibility criterion was pragmatic: a report had to present a *time-resolved* treatment-dropout or retention curve as a single, cleanly separable, digitizable line (Kaplan–Meier survivor or competing-risk cumulative incidence), not only a final cumulative LTFU proportion. Full dual-reviewer screening of every record was beyond the scope of this short study; we screened the identified literature pragmatically against this criterion and note that the overwhelming majority of LTFU reports present only a final proportion and were therefore ineligible. Eligible infectious-disease curves were carried forward; one non-infectious antipsychotic curve was retained separately as a methodological contrast, outside the infectious-disease scope.</w:t>
      </w:r>
    </w:p>
    <w:p>
      <w:pPr>
        <w:spacing w:before="120"/>
      </w:pPr>
      <w:r>
        <w:rPr>
          <w:b/>
        </w:rPr>
        <w:t>Data and analysis.</w:t>
      </w:r>
      <w:r>
        <w:t xml:space="preserve"> 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CI for k, and compared the fit with exponential (k=1) and log-normal models by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rPr>
          <w:b/>
        </w:rPr>
        <w:t>Yield of the search.</w:t>
      </w:r>
      <w:r>
        <w:t xml:space="preserve"> Although the search identified 7594 open-access records, reproducibly digitizable, time-resolved dropout curves were rare: only 7 infectious-disease curves from 6 studies met the eligibility criterion (two TB and five HIV/ART curves; the 7 curves exceed the 6 studies because the Maputo study contributed two curves, its After- and Before-Test-and-Treat cohorts). The dominant reason for ineligibility was that reports gave only a final cumulative LTFU proportion, with no curve from which the timing of dropout could be recovered. This scarcity is itself a principal finding: the data needed to time retention support are, at present, seldom published in a usable form.</w:t>
      </w:r>
    </w:p>
    <w:p>
      <w:pPr>
        <w:spacing w:before="120"/>
      </w:pPr>
      <w:r>
        <w:t xml:space="preserve">Fitted parameters for the eligible curves are shown in Table 1 and the fits are overlaid on the digitized data in Figure 1. Among the 7 infectious-disease curves the shape parameter spanned k=0.44 to k=1.86, with 4 increasing-hazard (IFR) and 3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non-infectious antipsychotic contrast was also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digitized treatment-dropout curves (seven eligible infectious-disease curves plus one non-infectious antipsychotic contrast;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the seven eligible infectious-disease cohorts (two TB, five HIV/ART) plus a non-infectious antipsychotic contrast. Both the two TB cohorts and the HIV/ART cohorts split between IFR and DFR, so the hazard shape is heterogeneous within each disease.</w:t>
      </w:r>
    </w:p>
    <w:p>
      <w:r>
        <w:rPr>
          <w:b/>
          <w:sz w:val="26"/>
        </w:rPr>
        <w:t>Discussion</w:t>
      </w:r>
    </w:p>
    <w:p>
      <w:pPr>
        <w:spacing w:before="120"/>
      </w:pPr>
      <w:r>
        <w:t>The analysis puts a number on an accepted but qualitative problem and turns it in a practical direction. It is already known that treatment-interruption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xml:space="preserve"> and, importantly, that it is not confined to a single disease. Both the two TB cohorts and the HIV/ART cohorts fell on opposite sides of k=1, so there was no characteristic ‘TB shape’ or ‘HIV shape’: the direction of the dropout hazard varied from cohort to cohort within the same disease. The direct implication is that retention is not a matter of exhorting patients to try harder, and the timing of support cannot be read off the diagnosis.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quantitative reason why globally standardized adherence interventions have shown inconsistent effects</w:t>
      </w:r>
      <w:r>
        <w:rPr>
          <w:vertAlign w:val="superscript"/>
        </w:rPr>
        <w:t>3</w:t>
      </w:r>
      <w:r>
        <w:t>.</w:t>
      </w:r>
    </w:p>
    <w:p>
      <w:pPr>
        <w:spacing w:before="120"/>
      </w:pPr>
      <w:r>
        <w:t>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and reproducible way to obtain that shape from a single published curve.</w:t>
      </w:r>
    </w:p>
    <w:p>
      <w:pPr>
        <w:spacing w:before="120"/>
      </w:pPr>
      <w:r>
        <w:t>We cannot explain why the shapes diverge, and we do not claim to. The divergence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pPr>
        <w:spacing w:before="120"/>
      </w:pPr>
      <w:r>
        <w:t>Finally, this scarcity has an equity dimension that is central to the message of this study. Sustainable care in settings with constrained health resources and limited access depends on planning retention support and then verifying that it works; both require the timing of dropout to be recorded and reported, not just its final total. Yet despite the very large global burden of tuberculosis</w:t>
      </w:r>
      <w:r>
        <w:rPr>
          <w:vertAlign w:val="superscript"/>
        </w:rPr>
        <w:t>1</w:t>
      </w:r>
      <w:r>
        <w:t>, we could recover a reproducibly usable time-to-LTFU curve for only 2 TB cohorts — from China and Ethiopia — with no such curve available (or openly published) for the many other high-incidence settings, which differ in health system, case mix and programme context. A hazard shape measured in one country cannot simply be transplanted to another, so the near-absence of comparable curves elsewhere means most programmes currently have no local basis on which to time support or to test whether an intervention worked. Building and openly sharing time-resolved dropout data across many more regions — for TB and for HIV alike — is therefore not merely a research convenience but a prerequisite for evidence-based, sustainable retention care where the need is greatest.</w:t>
      </w:r>
    </w:p>
    <w:p>
      <w:r>
        <w:rPr>
          <w:b/>
          <w:sz w:val="26"/>
        </w:rPr>
        <w:t>Limitations</w:t>
      </w:r>
    </w:p>
    <w:p>
      <w:pPr>
        <w:spacing w:before="120"/>
      </w:pPr>
      <w:r>
        <w:t>This is a pragmatic scoping study, not a fully registered dual-reviewer scoping review: the search was limited to open-access, English-language Europe PMC records mentioning a time-to-event curve, and screening against the eligibility criterion was performed pragmatically rather than by independent duplicate assessment, so the count of eligible curves is a lower bound and some eligible curves in other databases or languages will have been missed. Only seven time-resolved infectious-disease dropout curves met our bar, so the shape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