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Risk perception versus structural incentives in physician specialty choice: a Japanese panel study</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persistent workforce problem, and malpractice litigation is often assumed to push physicians away from high-risk fields. Using national administrative data for 12 clinical specialties in Japan (2008-2024), we tested whether litigation risk predicts physician supply and hospital facility counts. Exposure was malpractice claims per 1,000 physicians; we regressed biennial log-changes in physician and facility counts on the lagged litigation rate using specialty and wave fixed effects, clustered standard errors, and equivalence tests. Litigation rate was unrelated to physician growth (coefficient -0.0009; 95% CI -0.0043 to +0.0025; p=0.56) or facility-count growth (p=0.90), and a one-SD higher rate shifted physician growth by less than +/-1% (TOST p=0.023). Although perceived risk is high, structural incentives -- training costs, fee-for-service income, and status-quo bias -- keep physicians in high-risk fields. Reducing litigation exposure is unlikely to correct specialty maldistribution;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anaesthesiology are widely perceived as understaffed across many health systems. (Matsumoto et al., 2010)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an instrument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not whether physicians report anxiety about litigation, but whether that anxiety translates into aggregate workforce shifts. We treat the litigation-workforce question as a test case for evaluating a behavioural public policy instrument: can a salient, cognitively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facility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(Japan Council for Quality Health Care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Hospital counts are the number of facilities reporting each specialty, not beds or staffing. Two sensitivity series were also used: annual medical accident investigation reports by specialty (2015-2024) from the Japan Medical Safety Research Organisation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One source disagreement is documented in the extraction provenance. The 2017 internal medicine count is 179 in the consolidated Supreme Court releases (2022/2024/2025) and 181 in the contemporaneous 2017 committee minutes; we retained 179 in the primary series because it is the figure in the released statistics. (Supreme Court of Japan, 2024) The disagreement does not alter the rate-based exposure materially, but it is recorded for transparency.</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 facility counts) and regressed it on the lagged litigation rate at the start of the interval, in a panel with specialty and wave fixed effects, clustered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Delta</m:t>
        </m:r>
        <m:r>
          <m:rPr>
            <m:sty m:val="p"/>
          </m:rPr>
          <m:t>log</m:t>
        </m:r>
        <m:r>
          <m:t>(</m:t>
        </m:r>
        <m:sSub>
          <m:e>
            <m:r>
              <m:t>Y</m:t>
            </m:r>
          </m:e>
          <m:sub>
            <m:r>
              <m:t>st</m:t>
            </m:r>
          </m:sub>
        </m:sSub>
        <m:r>
          <m:t>)=</m:t>
        </m:r>
        <m:sSub>
          <m:e>
            <m:r>
              <m:t>alpha</m:t>
            </m:r>
          </m:e>
          <m:sub>
            <m:r>
              <m:t>s</m:t>
            </m:r>
          </m:sub>
        </m:sSub>
        <m:r>
          <m:t>+</m:t>
        </m:r>
        <m:sSub>
          <m:e>
            <m:r>
              <m:t>delta</m:t>
            </m:r>
          </m:e>
          <m:sub>
            <m:r>
              <m:t>t</m:t>
            </m:r>
          </m:sub>
        </m:sSub>
        <m:r>
          <m:t>+beta*</m:t>
        </m:r>
        <m:sSub>
          <m:e>
            <m:r>
              <m:rPr>
                <m:nor/>
              </m:rPr>
              <m:t>litrate</m:t>
            </m:r>
          </m:e>
          <m:sub>
            <m:r>
              <m:t>s,t-1</m:t>
            </m:r>
          </m:sub>
        </m:sSub>
        <m:r>
          <m:t>+gamma*</m:t>
        </m:r>
        <m:sSub>
          <m:e>
            <m:r>
              <m:rPr>
                <m:nor/>
              </m:rPr>
              <m:t>JOCS-CP</m:t>
            </m:r>
          </m:e>
          <m:sub>
            <m:r>
              <m:t>s,t-1</m:t>
            </m:r>
          </m:sub>
        </m:sSub>
        <m:r>
          <m:t>+</m:t>
        </m:r>
        <m:sSub>
          <m:e>
            <m:r>
              <m:t>epsilon</m:t>
            </m:r>
          </m:e>
          <m:sub>
            <m:r>
              <m:t>st</m:t>
            </m:r>
          </m:sub>
        </m:sSub>
      </m:oMath>
    </w:p>
    <w:p>
      <w:pPr>
        <w:spacing w:line="480" w:lineRule="auto" w:after="120"/>
      </w:pPr>
      <w:r>
        <w:rPr>
          <w:rFonts w:ascii="Times New Roman" w:hAnsi="Times New Roman"/>
          <w:b w:val="0"/>
          <w:i w:val="0"/>
          <w:sz w:val="24"/>
        </w:rPr>
        <w:t>Here, Y is either physician counts or hospital facility counts,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The margins were chosen to be smaller than the policy-relevant workforce shifts that structural tools have produced: for example, targeted residency subsidies raised primary-care physician supply by about 4% in a comparable setting. (McNamara and Pineda-Torres, 2025) That 4% is a total programme effect, whereas our +/-1% and +/-2% margins are biennial, so the margins are substantially smaller than the policy-relevant shift and therefore conservative. The TOST procedure itself is standard for equivalence testing.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sensitivity checks are given in Supplementary Note 1.</w:t>
      </w:r>
    </w:p>
    <w:p>
      <w:pPr>
        <w:pStyle w:val="Heading2"/>
      </w:pPr>
      <w:r>
        <w:rPr>
          <w:rFonts w:ascii="Times New Roman" w:hAnsi="Times New Roman"/>
          <w:color w:val="000000"/>
        </w:rPr>
        <w:t>Policy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scenarios. The baseline used each specialty's observed mean biennial log-growth from 2004 to 2024. The two litigation-reduction scenarios set the litigation rate to zero and applied the point estimate and the 95% lower-bound coefficient, respectively, so they show both the central projection and the most favourable effect consistent with the data. The third scenario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nearly flat (-2.3% across 16 years). Exposure and workforce did not move in opposite directions as a flight-from-risk account would predict.</w:t>
      </w:r>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facility-count growth (coefficient +0.0003; p=0.90). Equivalence testing (Figure 1; Table 2) showed that a 1-SD higher litigation rate changed biennial physician growth by less than +/-1% (TOST p=0.023; point estimate -0.21% with 90% CI -0.84% to +0.42%). For hospital facility-count growth the point estimate was +0.07% (90% CI -0.91% to +1.06%): it was within the +/-2% margin (p=0.002) but not the stricter +/-1% margin (p=0.059). Thus the data are consistent with the absence of a policy-relevant effect on physician growth, and with at most a small effect on hospital facility-count growth. Detailed TOST results by margin are reported in Supplementary Table 2.</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holds across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treat it as exploratory and do not interpret it as a causal policy effect.</w:t>
      </w:r>
    </w:p>
    <w:p>
      <w:pPr>
        <w:spacing w:line="480" w:lineRule="auto" w:after="120"/>
      </w:pPr>
      <w:r>
        <w:rPr>
          <w:rFonts w:ascii="Times New Roman" w:hAnsi="Times New Roman"/>
          <w:b w:val="0"/>
          <w:i w:val="0"/>
          <w:sz w:val="24"/>
        </w:rPr>
        <w:t>The same count-versus-rate contrast for biennial hospital facility-count growth is shown in Figure 3. As with physician growth, the count exposure creates a spurious size confound that disappears once the rate-adjusted exposure is used.</w:t>
      </w:r>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facility-count growth for 2016-2024 that included both the lagged litigation rate and the lagged JMSR report rate left the litigation coefficient little changed (+0.0021; p=0.28) and the JMSR term was not associated with hospital facility-count growth (p=0.66; Supplementary Table 3). The null litigation result is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facility-count growth for 2009-2018 that included both the lagged litigation rate and the lagged article count (per 1,000 articles) left the litigation coefficient little changed and the media term was not associated with hospital facility-count growth (p=0.21; Supplementary Table 4). Media coverage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Small-cluster validation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facility-count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facility-count growth the minimum detectable effect was 1.69% per SD and the equivalent power for the +/-1% margin was 90.4%. The panel is informative enough to rule out policy-relevant effects for physicians, and to bound any hospital effect within a small margin.</w:t>
      </w:r>
    </w:p>
    <w:p>
      <w:pPr>
        <w:spacing w:line="480" w:lineRule="auto" w:after="120"/>
      </w:pPr>
      <w:r>
        <w:rPr>
          <w:rFonts w:ascii="Times New Roman" w:hAnsi="Times New Roman"/>
          <w:b w:val="0"/>
          <w:i w:val="0"/>
          <w:sz w:val="24"/>
        </w:rPr>
        <w:t>Full bootstrap diagnostics and power calculations are reported in Supplementary Table 6.</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benchmark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scenario are reported in Supplementary Table 7; Figure 4 summarises the same information as marginal percentage changes. Litigation reduction is not a high-impact instrument for workforce allocation in this setting.</w:t>
      </w:r>
    </w:p>
    <w:p>
      <w:pPr>
        <w:pStyle w:val="Heading2"/>
      </w:pPr>
      <w:r>
        <w:rPr>
          <w:rFonts w:ascii="Times New Roman" w:hAnsi="Times New Roman"/>
          <w:color w:val="000000"/>
        </w:rPr>
        <w:t>Training-system context</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18.3% of physicians in the third to fifth year after medical registration in 2014 (weighted by specialty stock),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Supplementary Table 8 reports the counts by specialty.</w:t>
      </w:r>
    </w:p>
    <w:p>
      <w:pPr>
        <w:pStyle w:val="Heading2"/>
      </w:pPr>
      <w:r>
        <w:rPr>
          <w:rFonts w:ascii="Times New Roman" w:hAnsi="Times New Roman"/>
          <w:color w:val="000000"/>
        </w:rPr>
        <w:t>Heterogeneity and trend sensitivity</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facility-count growth the main coefficient was -0.0001 (p=0.99) and the interaction was +0.0004 (p=0.93). For the surgical-specialty interaction the physician main effect was -0.0045 (p=0.24) and the interaction was +0.0057 (p=0.39); for hospital facility-count growth the main effect was +0.0044 (p=0.12) and the interaction was -0.0066 (p=0.06). Allowing specialty-specific linear trends also left the litigation coefficient small and non-significant for physician growth (+0.0010; p=0.73) and hospital facility-count growth (+0.0027; p=0.11). None of the interactions or trend-stability checks suggest that a negative litigation effect is hiding in a clinically exposed subgroup (Supplementary Table 9).</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facility-count growth is smaller than 2% (but not confidently smaller than 1%). These data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an important distinction: a widely discussed risk can be highly available and emotionally salient without being a reliable policy tool.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consistency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decision to leave a specialty is governed by expected income, sunk training costs, switching costs and status-quo bias, all of which discourage exit even when perceived risk is high. (Samuelson and Zeckhauser, 1988) The gap between reported anxiety and measured supply is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tools.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Reducing civil malpractice litigation is unlikely to be a powerful tool for correcting specialty maldistribution. The 10-year counterfactual showed that eliminating all claims would add only 1.1% to the projected national physician stock under the point estimate, and 5.2% under the most favourable 95% lower-bound coefficient. A generic benchmark equal to the minimum detectable effect would add 5.5%. Effects of this size are too small to rebalance a workforce whose distribution is shaped by training costs, reimbursement and seniority.</w:t>
      </w:r>
    </w:p>
    <w:p>
      <w:pPr>
        <w:spacing w:line="480" w:lineRule="auto" w:after="120"/>
      </w:pPr>
      <w:r>
        <w:rPr>
          <w:rFonts w:ascii="Times New Roman" w:hAnsi="Times New Roman"/>
          <w:b w:val="0"/>
          <w:i w:val="0"/>
          <w:sz w:val="24"/>
        </w:rPr>
        <w:t>The weak response reflects the institutional structure of career choice, not a lack of concern. Once a physician has entered a specialty, the costs of switching -- foregone fellowship income, lost seniority and professional identity -- generate powerful status-quo bias, while fee-for-service income rewards the high-acuity work that also carries litigation risk. No-fault compensation, payment design and training subsidies alter the payoffs and defaults that matter for a loss-averse trainee; they are more reliable tools than risk communication. (Samuelson and Zeckhauser, 1988; Kahneman and Tversky, 1979) New Zealand and the Nordic administrative-compensation systems show how separating compensation from blame can protect patients and providers without relying on litigation, and Japan's JOCS-CP moves in the same direction for obstetric cerebral palsy. (Bismark and Paterson, 2006; Mello, Kachalia and Studdert, 2011; Hasegawa et al., 2016)</w:t>
      </w:r>
    </w:p>
    <w:p>
      <w:pPr>
        <w:spacing w:line="480" w:lineRule="auto" w:after="120"/>
      </w:pPr>
      <w:r>
        <w:rPr>
          <w:rFonts w:ascii="Times New Roman" w:hAnsi="Times New Roman"/>
          <w:b w:val="0"/>
          <w:i w:val="0"/>
          <w:sz w:val="24"/>
        </w:rPr>
        <w:t>Information campaigns that publicise the rarity of claims are therefore unlikely to alter aggregate supply. The availability heuristic means that vivid cases dominate decision weights regardless of their frequency, so a national trend line does not remove salient exemplars from memory or media coverage. (Tversky and Kahneman, 1973; Kahneman and Tversky, 1979; Lin et al., 2022) The behavioural lesson is that policymakers should redesign the choice architecture -- payment, training slots and compensation rules -- rather than expect litigation-avoidance messaging to drive career decisions. Our null result is evidence that structural defaults and loss aversion outweigh rare-event risk perception in the aggregate workforce.</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We do not directly observe individual physicians' subjective risk perceptions, so the behavioural interpretation of the null result in terms of availability, loss aversion and status-quo bias is theoretically informed rather than directly tested. The 12 specialties correspond to the primary-specialty tier of Japan's two-tiered specialist training programme; the analysis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cluster-level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 -- including its no-fault obstetric compensation scheme, its fee-for-service reimbursement structure and its comparatively low-volume malpractice-litigation culture -- 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tool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tools. More generally, the results caution against treating highly salient risks as reliable policy tools when the underlying choice architecture preserves strong structural incentives. Behavioural public policy is most effective when it redesigns the decision context rather than attempting to counteract it through information alone.</w:t>
      </w:r>
    </w:p>
    <w:p>
      <w:pPr>
        <w:pStyle w:val="Heading1"/>
      </w:pPr>
      <w:r>
        <w:rPr>
          <w:rFonts w:ascii="Times New Roman" w:hAnsi="Times New Roman"/>
          <w:color w:val="000000"/>
        </w:rPr>
        <w:t>References</w:t>
      </w:r>
    </w:p>
    <w:p>
      <w:pPr>
        <w:spacing w:line="360" w:lineRule="auto"/>
      </w:pPr>
      <w:r>
        <w:rPr>
          <w:rFonts w:ascii="Times New Roman" w:hAnsi="Times New Roman"/>
          <w:b w:val="0"/>
          <w:i w:val="0"/>
          <w:sz w:val="20"/>
        </w:rPr>
        <w:t xml:space="preserve">Angrist, J.D. and Pischke, J.S. (2009), </w:t>
      </w:r>
      <w:r>
        <w:rPr>
          <w:rFonts w:ascii="Times New Roman" w:hAnsi="Times New Roman"/>
          <w:b w:val="0"/>
          <w:i/>
          <w:sz w:val="20"/>
        </w:rPr>
        <w:t>Mostly Harmless Econometrics: An Empiricist's Companion</w:t>
      </w:r>
      <w:r>
        <w:rPr>
          <w:rFonts w:ascii="Times New Roman" w:hAnsi="Times New Roman"/>
          <w:b w:val="0"/>
          <w:i w:val="0"/>
          <w:sz w:val="20"/>
        </w:rPr>
        <w:t>. Princeton: Princeton University Press.</w:t>
      </w:r>
    </w:p>
    <w:p>
      <w:pPr>
        <w:spacing w:line="360" w:lineRule="auto"/>
      </w:pPr>
      <w:r>
        <w:rPr>
          <w:rFonts w:ascii="Times New Roman" w:hAnsi="Times New Roman"/>
          <w:b w:val="0"/>
          <w:i w:val="0"/>
          <w:sz w:val="20"/>
        </w:rPr>
        <w:t>Bismark, M. and Paterson, R. (2006), '</w:t>
      </w:r>
      <w:r>
        <w:rPr>
          <w:rFonts w:ascii="Times New Roman" w:hAnsi="Times New Roman"/>
          <w:b w:val="0"/>
          <w:i w:val="0"/>
          <w:sz w:val="20"/>
        </w:rPr>
        <w:t>No-fault compensation in New Zealand: harmonizing injury compensation, provider accountability, and patient safety</w:t>
      </w:r>
      <w:r>
        <w:rPr>
          <w:rFonts w:ascii="Times New Roman" w:hAnsi="Times New Roman"/>
          <w:b w:val="0"/>
          <w:i w:val="0"/>
          <w:sz w:val="20"/>
        </w:rPr>
        <w:t xml:space="preserve">', </w:t>
      </w:r>
      <w:r>
        <w:rPr>
          <w:rFonts w:ascii="Times New Roman" w:hAnsi="Times New Roman"/>
          <w:b w:val="0"/>
          <w:i/>
          <w:sz w:val="20"/>
        </w:rPr>
        <w:t>Health Aff</w:t>
      </w:r>
      <w:r>
        <w:rPr>
          <w:rFonts w:ascii="Times New Roman" w:hAnsi="Times New Roman"/>
          <w:b w:val="0"/>
          <w:i w:val="0"/>
          <w:sz w:val="20"/>
        </w:rPr>
        <w:t>. 25(1): 278-286.</w:t>
      </w:r>
    </w:p>
    <w:p>
      <w:pPr>
        <w:spacing w:line="360" w:lineRule="auto"/>
      </w:pPr>
      <w:r>
        <w:rPr>
          <w:rFonts w:ascii="Times New Roman" w:hAnsi="Times New Roman"/>
          <w:b w:val="0"/>
          <w:i w:val="0"/>
          <w:sz w:val="20"/>
        </w:rPr>
        <w:t>Cameron, A.C. and Miller, D.L. (2015), '</w:t>
      </w:r>
      <w:r>
        <w:rPr>
          <w:rFonts w:ascii="Times New Roman" w:hAnsi="Times New Roman"/>
          <w:b w:val="0"/>
          <w:i w:val="0"/>
          <w:sz w:val="20"/>
        </w:rPr>
        <w:t>A practitioner's guide to cluster-robust inference</w:t>
      </w:r>
      <w:r>
        <w:rPr>
          <w:rFonts w:ascii="Times New Roman" w:hAnsi="Times New Roman"/>
          <w:b w:val="0"/>
          <w:i w:val="0"/>
          <w:sz w:val="20"/>
        </w:rPr>
        <w:t xml:space="preserve">', </w:t>
      </w:r>
      <w:r>
        <w:rPr>
          <w:rFonts w:ascii="Times New Roman" w:hAnsi="Times New Roman"/>
          <w:b w:val="0"/>
          <w:i/>
          <w:sz w:val="20"/>
        </w:rPr>
        <w:t>J Hum Resour</w:t>
      </w:r>
      <w:r>
        <w:rPr>
          <w:rFonts w:ascii="Times New Roman" w:hAnsi="Times New Roman"/>
          <w:b w:val="0"/>
          <w:i w:val="0"/>
          <w:sz w:val="20"/>
        </w:rPr>
        <w:t>. 50(2): 317-372.</w:t>
      </w:r>
    </w:p>
    <w:p>
      <w:pPr>
        <w:spacing w:line="360" w:lineRule="auto"/>
      </w:pPr>
      <w:r>
        <w:rPr>
          <w:rFonts w:ascii="Times New Roman" w:hAnsi="Times New Roman"/>
          <w:b w:val="0"/>
          <w:i w:val="0"/>
          <w:sz w:val="20"/>
        </w:rPr>
        <w:t>Frakes, M.D., Frank, M.B. and Seabury, S.A. (2020), '</w:t>
      </w:r>
      <w:r>
        <w:rPr>
          <w:rFonts w:ascii="Times New Roman" w:hAnsi="Times New Roman"/>
          <w:b w:val="0"/>
          <w:i w:val="0"/>
          <w:sz w:val="20"/>
        </w:rPr>
        <w:t>The effect of malpractice law on physician supply: Evidence from negligence-standard reforms</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70: 1-16.</w:t>
      </w:r>
    </w:p>
    <w:p>
      <w:pPr>
        <w:spacing w:line="360" w:lineRule="auto"/>
      </w:pPr>
      <w:r>
        <w:rPr>
          <w:rFonts w:ascii="Times New Roman" w:hAnsi="Times New Roman"/>
          <w:b w:val="0"/>
          <w:i w:val="0"/>
          <w:sz w:val="20"/>
        </w:rPr>
        <w:t>Hasegawa, J., Toyokawa, S., Ikenoue, T., et al. (2016), '</w:t>
      </w:r>
      <w:r>
        <w:rPr>
          <w:rFonts w:ascii="Times New Roman" w:hAnsi="Times New Roman"/>
          <w:b w:val="0"/>
          <w:i w:val="0"/>
          <w:sz w:val="20"/>
        </w:rPr>
        <w:t>Relevant obstetric factors for cerebral palsy: from the Nationwide Obstetric Compensation System in Japan</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11(1): e0148122.</w:t>
      </w:r>
    </w:p>
    <w:p>
      <w:pPr>
        <w:spacing w:line="360" w:lineRule="auto"/>
      </w:pPr>
      <w:r>
        <w:rPr>
          <w:rFonts w:ascii="Times New Roman" w:hAnsi="Times New Roman"/>
          <w:b w:val="0"/>
          <w:i w:val="0"/>
          <w:sz w:val="20"/>
        </w:rPr>
        <w:t>Helland, E. and Seabury, S.A. (2015), '</w:t>
      </w:r>
      <w:r>
        <w:rPr>
          <w:rFonts w:ascii="Times New Roman" w:hAnsi="Times New Roman"/>
          <w:b w:val="0"/>
          <w:i w:val="0"/>
          <w:sz w:val="20"/>
        </w:rPr>
        <w:t>Tort reform and physician labor supply: a review of the evidence</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192-202.</w:t>
      </w:r>
    </w:p>
    <w:p>
      <w:pPr>
        <w:spacing w:line="360" w:lineRule="auto"/>
      </w:pPr>
      <w:r>
        <w:rPr>
          <w:rFonts w:ascii="Times New Roman" w:hAnsi="Times New Roman"/>
          <w:b w:val="0"/>
          <w:i w:val="0"/>
          <w:sz w:val="20"/>
        </w:rPr>
        <w:t>Hiyama, T., Yoshihara, M., Tanaka, S., et al. (2006), '</w:t>
      </w:r>
      <w:r>
        <w:rPr>
          <w:rFonts w:ascii="Times New Roman" w:hAnsi="Times New Roman"/>
          <w:b w:val="0"/>
          <w:i w:val="0"/>
          <w:sz w:val="20"/>
        </w:rPr>
        <w:t>Defensive medicine practices among gastroenterologists in Japan</w:t>
      </w:r>
      <w:r>
        <w:rPr>
          <w:rFonts w:ascii="Times New Roman" w:hAnsi="Times New Roman"/>
          <w:b w:val="0"/>
          <w:i w:val="0"/>
          <w:sz w:val="20"/>
        </w:rPr>
        <w:t xml:space="preserve">', </w:t>
      </w:r>
      <w:r>
        <w:rPr>
          <w:rFonts w:ascii="Times New Roman" w:hAnsi="Times New Roman"/>
          <w:b w:val="0"/>
          <w:i/>
          <w:sz w:val="20"/>
        </w:rPr>
        <w:t>World J Gastroenterol</w:t>
      </w:r>
      <w:r>
        <w:rPr>
          <w:rFonts w:ascii="Times New Roman" w:hAnsi="Times New Roman"/>
          <w:b w:val="0"/>
          <w:i w:val="0"/>
          <w:sz w:val="20"/>
        </w:rPr>
        <w:t>. 12(47): 7671-7675. doi:10.3748/wjg.v12.i47.7671</w:t>
      </w:r>
    </w:p>
    <w:p>
      <w:pPr>
        <w:spacing w:line="360" w:lineRule="auto"/>
      </w:pPr>
      <w:r>
        <w:rPr>
          <w:rFonts w:ascii="Times New Roman" w:hAnsi="Times New Roman"/>
          <w:b w:val="0"/>
          <w:i w:val="0"/>
          <w:sz w:val="20"/>
        </w:rPr>
        <w:t>Hyman, D.A., Silver, C., Black, B. and Paik, M. (2015), '</w:t>
      </w:r>
      <w:r>
        <w:rPr>
          <w:rFonts w:ascii="Times New Roman" w:hAnsi="Times New Roman"/>
          <w:b w:val="0"/>
          <w:i w:val="0"/>
          <w:sz w:val="20"/>
        </w:rPr>
        <w:t>Does tort reform affect physician supply? Evidence from Texas</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203-218.</w:t>
      </w:r>
    </w:p>
    <w:p>
      <w:pPr>
        <w:spacing w:line="360" w:lineRule="auto"/>
      </w:pPr>
      <w:r>
        <w:rPr>
          <w:rFonts w:ascii="Times New Roman" w:hAnsi="Times New Roman"/>
          <w:b w:val="0"/>
          <w:i w:val="0"/>
          <w:sz w:val="20"/>
        </w:rPr>
        <w:t xml:space="preserve">Japan Council for Quality Health Care (JOCS-CP) (2009), </w:t>
      </w:r>
      <w:r>
        <w:rPr>
          <w:rFonts w:ascii="Times New Roman" w:hAnsi="Times New Roman"/>
          <w:b w:val="0"/>
          <w:i/>
          <w:sz w:val="20"/>
        </w:rPr>
        <w:t>Japan Obstetric Compensation System for Cerebral Palsy</w:t>
      </w:r>
      <w:r>
        <w:rPr>
          <w:rFonts w:ascii="Times New Roman" w:hAnsi="Times New Roman"/>
          <w:b w:val="0"/>
          <w:i w:val="0"/>
          <w:sz w:val="20"/>
        </w:rPr>
        <w:t>. Tokyo: Japan Council for Quality Health Care.</w:t>
      </w:r>
    </w:p>
    <w:p>
      <w:pPr>
        <w:spacing w:line="360" w:lineRule="auto"/>
      </w:pPr>
      <w:r>
        <w:rPr>
          <w:rFonts w:ascii="Times New Roman" w:hAnsi="Times New Roman"/>
          <w:b w:val="0"/>
          <w:i w:val="0"/>
          <w:sz w:val="20"/>
        </w:rPr>
        <w:t xml:space="preserve">Japan Medical Safety Research Organisation (JMSR) (2025), </w:t>
      </w:r>
      <w:r>
        <w:rPr>
          <w:rFonts w:ascii="Times New Roman" w:hAnsi="Times New Roman"/>
          <w:b w:val="0"/>
          <w:i/>
          <w:sz w:val="20"/>
        </w:rPr>
        <w:t>Annual reports of medical accident investigations (2015-2024)</w:t>
      </w:r>
      <w:r>
        <w:rPr>
          <w:rFonts w:ascii="Times New Roman" w:hAnsi="Times New Roman"/>
          <w:b w:val="0"/>
          <w:i w:val="0"/>
          <w:sz w:val="20"/>
        </w:rPr>
        <w:t>. Tokyo: JMSR.</w:t>
      </w:r>
    </w:p>
    <w:p>
      <w:pPr>
        <w:spacing w:line="360" w:lineRule="auto"/>
      </w:pPr>
      <w:r>
        <w:rPr>
          <w:rFonts w:ascii="Times New Roman" w:hAnsi="Times New Roman"/>
          <w:b w:val="0"/>
          <w:i w:val="0"/>
          <w:sz w:val="20"/>
        </w:rPr>
        <w:t>Kahneman, D. and Tversky, A. (1979), '</w:t>
      </w:r>
      <w:r>
        <w:rPr>
          <w:rFonts w:ascii="Times New Roman" w:hAnsi="Times New Roman"/>
          <w:b w:val="0"/>
          <w:i w:val="0"/>
          <w:sz w:val="20"/>
        </w:rPr>
        <w:t>Prospect theory: an analysis of decision under risk</w:t>
      </w:r>
      <w:r>
        <w:rPr>
          <w:rFonts w:ascii="Times New Roman" w:hAnsi="Times New Roman"/>
          <w:b w:val="0"/>
          <w:i w:val="0"/>
          <w:sz w:val="20"/>
        </w:rPr>
        <w:t xml:space="preserve">', </w:t>
      </w:r>
      <w:r>
        <w:rPr>
          <w:rFonts w:ascii="Times New Roman" w:hAnsi="Times New Roman"/>
          <w:b w:val="0"/>
          <w:i/>
          <w:sz w:val="20"/>
        </w:rPr>
        <w:t>Econometrica</w:t>
      </w:r>
      <w:r>
        <w:rPr>
          <w:rFonts w:ascii="Times New Roman" w:hAnsi="Times New Roman"/>
          <w:b w:val="0"/>
          <w:i w:val="0"/>
          <w:sz w:val="20"/>
        </w:rPr>
        <w:t>. 47(2): 263-291.</w:t>
      </w:r>
    </w:p>
    <w:p>
      <w:pPr>
        <w:spacing w:line="360" w:lineRule="auto"/>
      </w:pPr>
      <w:r>
        <w:rPr>
          <w:rFonts w:ascii="Times New Roman" w:hAnsi="Times New Roman"/>
          <w:b w:val="0"/>
          <w:i w:val="0"/>
          <w:sz w:val="20"/>
        </w:rPr>
        <w:t>Kamijo, K., Wada, Y., Ishida, K., Warsof, S.L., Saade, G. and Kawakita, T. (2025), '</w:t>
      </w:r>
      <w:r>
        <w:rPr>
          <w:rFonts w:ascii="Times New Roman" w:hAnsi="Times New Roman"/>
          <w:b w:val="0"/>
          <w:i w:val="0"/>
          <w:sz w:val="20"/>
        </w:rPr>
        <w:t>Medical-legal claims in obstetrics and gynecology: Japan versus the United States</w:t>
      </w:r>
      <w:r>
        <w:rPr>
          <w:rFonts w:ascii="Times New Roman" w:hAnsi="Times New Roman"/>
          <w:b w:val="0"/>
          <w:i w:val="0"/>
          <w:sz w:val="20"/>
        </w:rPr>
        <w:t xml:space="preserve">', </w:t>
      </w:r>
      <w:r>
        <w:rPr>
          <w:rFonts w:ascii="Times New Roman" w:hAnsi="Times New Roman"/>
          <w:b w:val="0"/>
          <w:i/>
          <w:sz w:val="20"/>
        </w:rPr>
        <w:t>J Healthc Risk Manag</w:t>
      </w:r>
      <w:r>
        <w:rPr>
          <w:rFonts w:ascii="Times New Roman" w:hAnsi="Times New Roman"/>
          <w:b w:val="0"/>
          <w:i w:val="0"/>
          <w:sz w:val="20"/>
        </w:rPr>
        <w:t>. 44(4): 5-11. doi:10.1002/jhrm.70001</w:t>
      </w:r>
    </w:p>
    <w:p>
      <w:pPr>
        <w:spacing w:line="360" w:lineRule="auto"/>
      </w:pPr>
      <w:r>
        <w:rPr>
          <w:rFonts w:ascii="Times New Roman" w:hAnsi="Times New Roman"/>
          <w:b w:val="0"/>
          <w:i w:val="0"/>
          <w:sz w:val="20"/>
        </w:rPr>
        <w:t>Kessler, D.P. and McClellan, M.B. (1996), '</w:t>
      </w:r>
      <w:r>
        <w:rPr>
          <w:rFonts w:ascii="Times New Roman" w:hAnsi="Times New Roman"/>
          <w:b w:val="0"/>
          <w:i w:val="0"/>
          <w:sz w:val="20"/>
        </w:rPr>
        <w:t>Do doctors practice defensive medicine?</w:t>
      </w:r>
      <w:r>
        <w:rPr>
          <w:rFonts w:ascii="Times New Roman" w:hAnsi="Times New Roman"/>
          <w:b w:val="0"/>
          <w:i w:val="0"/>
          <w:sz w:val="20"/>
        </w:rPr>
        <w:t xml:space="preserve">', </w:t>
      </w:r>
      <w:r>
        <w:rPr>
          <w:rFonts w:ascii="Times New Roman" w:hAnsi="Times New Roman"/>
          <w:b w:val="0"/>
          <w:i/>
          <w:sz w:val="20"/>
        </w:rPr>
        <w:t>Q J Econ</w:t>
      </w:r>
      <w:r>
        <w:rPr>
          <w:rFonts w:ascii="Times New Roman" w:hAnsi="Times New Roman"/>
          <w:b w:val="0"/>
          <w:i w:val="0"/>
          <w:sz w:val="20"/>
        </w:rPr>
        <w:t>. 111(2): 353-390.</w:t>
      </w:r>
    </w:p>
    <w:p>
      <w:pPr>
        <w:spacing w:line="360" w:lineRule="auto"/>
      </w:pPr>
      <w:r>
        <w:rPr>
          <w:rFonts w:ascii="Times New Roman" w:hAnsi="Times New Roman"/>
          <w:b w:val="0"/>
          <w:i w:val="0"/>
          <w:sz w:val="20"/>
        </w:rPr>
        <w:t>Lakens, D. (2017), '</w:t>
      </w:r>
      <w:r>
        <w:rPr>
          <w:rFonts w:ascii="Times New Roman" w:hAnsi="Times New Roman"/>
          <w:b w:val="0"/>
          <w:i w:val="0"/>
          <w:sz w:val="20"/>
        </w:rPr>
        <w:t>Equivalence tests: a practical primer for t tests, correlations, and meta-analyses</w:t>
      </w:r>
      <w:r>
        <w:rPr>
          <w:rFonts w:ascii="Times New Roman" w:hAnsi="Times New Roman"/>
          <w:b w:val="0"/>
          <w:i w:val="0"/>
          <w:sz w:val="20"/>
        </w:rPr>
        <w:t xml:space="preserve">', </w:t>
      </w:r>
      <w:r>
        <w:rPr>
          <w:rFonts w:ascii="Times New Roman" w:hAnsi="Times New Roman"/>
          <w:b w:val="0"/>
          <w:i/>
          <w:sz w:val="20"/>
        </w:rPr>
        <w:t>Soc Psychol Personal Sci</w:t>
      </w:r>
      <w:r>
        <w:rPr>
          <w:rFonts w:ascii="Times New Roman" w:hAnsi="Times New Roman"/>
          <w:b w:val="0"/>
          <w:i w:val="0"/>
          <w:sz w:val="20"/>
        </w:rPr>
        <w:t>. 8(4): 355-362.</w:t>
      </w:r>
    </w:p>
    <w:p>
      <w:pPr>
        <w:spacing w:line="360" w:lineRule="auto"/>
      </w:pPr>
      <w:r>
        <w:rPr>
          <w:rFonts w:ascii="Times New Roman" w:hAnsi="Times New Roman"/>
          <w:b w:val="0"/>
          <w:i w:val="0"/>
          <w:sz w:val="20"/>
        </w:rPr>
        <w:t>Lin, P.L., Huang, J.P., Fujii, T., Cho, E.H. and Huang, M.C. (2022), '</w:t>
      </w:r>
      <w:r>
        <w:rPr>
          <w:rFonts w:ascii="Times New Roman" w:hAnsi="Times New Roman"/>
          <w:b w:val="0"/>
          <w:i w:val="0"/>
          <w:sz w:val="20"/>
        </w:rPr>
        <w:t>A survey of specialty choice among obstetrics and gynecology residents in Japan, Korea, and Taiwan</w:t>
      </w:r>
      <w:r>
        <w:rPr>
          <w:rFonts w:ascii="Times New Roman" w:hAnsi="Times New Roman"/>
          <w:b w:val="0"/>
          <w:i w:val="0"/>
          <w:sz w:val="20"/>
        </w:rPr>
        <w:t xml:space="preserve">', </w:t>
      </w:r>
      <w:r>
        <w:rPr>
          <w:rFonts w:ascii="Times New Roman" w:hAnsi="Times New Roman"/>
          <w:b w:val="0"/>
          <w:i/>
          <w:sz w:val="20"/>
        </w:rPr>
        <w:t>J Obstet Gynaecol Res</w:t>
      </w:r>
      <w:r>
        <w:rPr>
          <w:rFonts w:ascii="Times New Roman" w:hAnsi="Times New Roman"/>
          <w:b w:val="0"/>
          <w:i w:val="0"/>
          <w:sz w:val="20"/>
        </w:rPr>
        <w:t>. 48(7): 1968-1977.</w:t>
      </w:r>
    </w:p>
    <w:p>
      <w:pPr>
        <w:spacing w:line="360" w:lineRule="auto"/>
      </w:pPr>
      <w:r>
        <w:rPr>
          <w:rFonts w:ascii="Times New Roman" w:hAnsi="Times New Roman"/>
          <w:b w:val="0"/>
          <w:i w:val="0"/>
          <w:sz w:val="20"/>
        </w:rPr>
        <w:t>Matsa, D.A. (2007), '</w:t>
      </w:r>
      <w:r>
        <w:rPr>
          <w:rFonts w:ascii="Times New Roman" w:hAnsi="Times New Roman"/>
          <w:b w:val="0"/>
          <w:i w:val="0"/>
          <w:sz w:val="20"/>
        </w:rPr>
        <w:t>Does malpractice liability keep the doctor away? Evidence from tort reform damage caps</w:t>
      </w:r>
      <w:r>
        <w:rPr>
          <w:rFonts w:ascii="Times New Roman" w:hAnsi="Times New Roman"/>
          <w:b w:val="0"/>
          <w:i w:val="0"/>
          <w:sz w:val="20"/>
        </w:rPr>
        <w:t xml:space="preserve">', </w:t>
      </w:r>
      <w:r>
        <w:rPr>
          <w:rFonts w:ascii="Times New Roman" w:hAnsi="Times New Roman"/>
          <w:b w:val="0"/>
          <w:i/>
          <w:sz w:val="20"/>
        </w:rPr>
        <w:t>J Legal Stud</w:t>
      </w:r>
      <w:r>
        <w:rPr>
          <w:rFonts w:ascii="Times New Roman" w:hAnsi="Times New Roman"/>
          <w:b w:val="0"/>
          <w:i w:val="0"/>
          <w:sz w:val="20"/>
        </w:rPr>
        <w:t>. 36(S2): S143-S182.</w:t>
      </w:r>
    </w:p>
    <w:p>
      <w:pPr>
        <w:spacing w:line="360" w:lineRule="auto"/>
      </w:pPr>
      <w:r>
        <w:rPr>
          <w:rFonts w:ascii="Times New Roman" w:hAnsi="Times New Roman"/>
          <w:b w:val="0"/>
          <w:i w:val="0"/>
          <w:sz w:val="20"/>
        </w:rPr>
        <w:t>Matsumoto, M., Inoue, K., Bowman, R. and Kajii, E. (2010), '</w:t>
      </w:r>
      <w:r>
        <w:rPr>
          <w:rFonts w:ascii="Times New Roman" w:hAnsi="Times New Roman"/>
          <w:b w:val="0"/>
          <w:i w:val="0"/>
          <w:sz w:val="20"/>
        </w:rPr>
        <w:t>Self-employment, specialty choice, and geographical distribution of physicians in Japan: a comparison with the United States</w:t>
      </w:r>
      <w:r>
        <w:rPr>
          <w:rFonts w:ascii="Times New Roman" w:hAnsi="Times New Roman"/>
          <w:b w:val="0"/>
          <w:i w:val="0"/>
          <w:sz w:val="20"/>
        </w:rPr>
        <w:t xml:space="preserve">', </w:t>
      </w:r>
      <w:r>
        <w:rPr>
          <w:rFonts w:ascii="Times New Roman" w:hAnsi="Times New Roman"/>
          <w:b w:val="0"/>
          <w:i/>
          <w:sz w:val="20"/>
        </w:rPr>
        <w:t>Health Policy</w:t>
      </w:r>
      <w:r>
        <w:rPr>
          <w:rFonts w:ascii="Times New Roman" w:hAnsi="Times New Roman"/>
          <w:b w:val="0"/>
          <w:i w:val="0"/>
          <w:sz w:val="20"/>
        </w:rPr>
        <w:t>. 96(3): 239-244. doi:10.1016/j.healthpol.2010.02.008</w:t>
      </w:r>
    </w:p>
    <w:p>
      <w:pPr>
        <w:spacing w:line="360" w:lineRule="auto"/>
      </w:pPr>
      <w:r>
        <w:rPr>
          <w:rFonts w:ascii="Times New Roman" w:hAnsi="Times New Roman"/>
          <w:b w:val="0"/>
          <w:i w:val="0"/>
          <w:sz w:val="20"/>
        </w:rPr>
        <w:t>McNamara, C. and Pineda-Torres, M. (2025), '</w:t>
      </w:r>
      <w:r>
        <w:rPr>
          <w:rFonts w:ascii="Times New Roman" w:hAnsi="Times New Roman"/>
          <w:b w:val="0"/>
          <w:i w:val="0"/>
          <w:sz w:val="20"/>
        </w:rPr>
        <w:t>Medical residency subsidies and physician shortages</w:t>
      </w:r>
      <w:r>
        <w:rPr>
          <w:rFonts w:ascii="Times New Roman" w:hAnsi="Times New Roman"/>
          <w:b w:val="0"/>
          <w:i w:val="0"/>
          <w:sz w:val="20"/>
        </w:rPr>
        <w:t xml:space="preserve">', </w:t>
      </w:r>
      <w:r>
        <w:rPr>
          <w:rFonts w:ascii="Times New Roman" w:hAnsi="Times New Roman"/>
          <w:b w:val="0"/>
          <w:i/>
          <w:sz w:val="20"/>
        </w:rPr>
        <w:t>J Public Econ</w:t>
      </w:r>
      <w:r>
        <w:rPr>
          <w:rFonts w:ascii="Times New Roman" w:hAnsi="Times New Roman"/>
          <w:b w:val="0"/>
          <w:i w:val="0"/>
          <w:sz w:val="20"/>
        </w:rPr>
        <w:t>. 251: 105494. doi:10.1016/j.jpubeco.2025.105494</w:t>
      </w:r>
    </w:p>
    <w:p>
      <w:pPr>
        <w:spacing w:line="360" w:lineRule="auto"/>
      </w:pPr>
      <w:r>
        <w:rPr>
          <w:rFonts w:ascii="Times New Roman" w:hAnsi="Times New Roman"/>
          <w:b w:val="0"/>
          <w:i w:val="0"/>
          <w:sz w:val="20"/>
        </w:rPr>
        <w:t>Medical Accident Investigation System (2015), Act on the Promotion of Medical Safety. Tokyo: Ministry of Health, Labour and Welfare.</w:t>
      </w:r>
    </w:p>
    <w:p>
      <w:pPr>
        <w:spacing w:line="360" w:lineRule="auto"/>
      </w:pPr>
      <w:r>
        <w:rPr>
          <w:rFonts w:ascii="Times New Roman" w:hAnsi="Times New Roman"/>
          <w:b w:val="0"/>
          <w:i w:val="0"/>
          <w:sz w:val="20"/>
        </w:rPr>
        <w:t xml:space="preserve">Mello, M.M., Kachalia, A. and Studdert, D.M. (2011), </w:t>
      </w:r>
      <w:r>
        <w:rPr>
          <w:rFonts w:ascii="Times New Roman" w:hAnsi="Times New Roman"/>
          <w:b w:val="0"/>
          <w:i/>
          <w:sz w:val="20"/>
        </w:rPr>
        <w:t>Administrative compensation for medical injuries: lessons from three foreign systems.</w:t>
      </w:r>
      <w:r>
        <w:rPr>
          <w:rFonts w:ascii="Times New Roman" w:hAnsi="Times New Roman"/>
          <w:b w:val="0"/>
          <w:i w:val="0"/>
          <w:sz w:val="20"/>
        </w:rPr>
        <w:t xml:space="preserve"> New York: The Commonwealth Fund.</w:t>
      </w:r>
    </w:p>
    <w:p>
      <w:pPr>
        <w:spacing w:line="360" w:lineRule="auto"/>
      </w:pPr>
      <w:r>
        <w:rPr>
          <w:rFonts w:ascii="Times New Roman" w:hAnsi="Times New Roman"/>
          <w:b w:val="0"/>
          <w:i w:val="0"/>
          <w:sz w:val="20"/>
        </w:rPr>
        <w:t xml:space="preserve">Ministry of Health, Labour and Welfare (2015), </w:t>
      </w:r>
      <w:r>
        <w:rPr>
          <w:rFonts w:ascii="Times New Roman" w:hAnsi="Times New Roman"/>
          <w:b w:val="0"/>
          <w:i/>
          <w:sz w:val="20"/>
        </w:rPr>
        <w:t>Number of physicians 3-5 years after medical registration, by principal specialty.</w:t>
      </w:r>
      <w:r>
        <w:rPr>
          <w:rFonts w:ascii="Times New Roman" w:hAnsi="Times New Roman"/>
          <w:b w:val="0"/>
          <w:i w:val="0"/>
          <w:sz w:val="20"/>
        </w:rPr>
        <w:t xml:space="preserve"> Tokyo: MHLW. Available at: https://www.mhlw.go.jp/file/06-Seisakujouhou-10800000-Iseikyoku/323.pdf (Accessed 15 August 2026).</w:t>
      </w:r>
    </w:p>
    <w:p>
      <w:pPr>
        <w:spacing w:line="360" w:lineRule="auto"/>
      </w:pPr>
      <w:r>
        <w:rPr>
          <w:rFonts w:ascii="Times New Roman" w:hAnsi="Times New Roman"/>
          <w:b w:val="0"/>
          <w:i w:val="0"/>
          <w:sz w:val="20"/>
        </w:rPr>
        <w:t xml:space="preserve">Ministry of Health, Labour and Welfare (2018), </w:t>
      </w:r>
      <w:r>
        <w:rPr>
          <w:rFonts w:ascii="Times New Roman" w:hAnsi="Times New Roman"/>
          <w:b w:val="0"/>
          <w:i/>
          <w:sz w:val="20"/>
        </w:rPr>
        <w:t>Adoption status of specialist trainees under the new specialist training system (toward the FY2018 launch).</w:t>
      </w:r>
      <w:r>
        <w:rPr>
          <w:rFonts w:ascii="Times New Roman" w:hAnsi="Times New Roman"/>
          <w:b w:val="0"/>
          <w:i w:val="0"/>
          <w:sz w:val="20"/>
        </w:rPr>
        <w:t xml:space="preserve"> Tokyo: MHLW. Available at: https://www.mhlw.go.jp/content/10803000/000452411.pdf (Accessed 15 August 2026).</w:t>
      </w:r>
    </w:p>
    <w:p>
      <w:pPr>
        <w:spacing w:line="360" w:lineRule="auto"/>
      </w:pPr>
      <w:r>
        <w:rPr>
          <w:rFonts w:ascii="Times New Roman" w:hAnsi="Times New Roman"/>
          <w:b w:val="0"/>
          <w:i w:val="0"/>
          <w:sz w:val="20"/>
        </w:rPr>
        <w:t xml:space="preserve">Ministry of Health, Labour and Welfare (2024a), </w:t>
      </w:r>
      <w:r>
        <w:rPr>
          <w:rFonts w:ascii="Times New Roman" w:hAnsi="Times New Roman"/>
          <w:b w:val="0"/>
          <w:i/>
          <w:sz w:val="20"/>
        </w:rPr>
        <w:t>Statistics of physicians, dentists and pharmacists.</w:t>
      </w:r>
      <w:r>
        <w:rPr>
          <w:rFonts w:ascii="Times New Roman" w:hAnsi="Times New Roman"/>
          <w:b w:val="0"/>
          <w:i w:val="0"/>
          <w:sz w:val="20"/>
        </w:rPr>
        <w:t xml:space="preserve"> Tokyo: MHLW. Available at: https://www.mhlw.go.jp/toukei/list/33-20b.html (Accessed 11 August 2026).</w:t>
      </w:r>
    </w:p>
    <w:p>
      <w:pPr>
        <w:spacing w:line="360" w:lineRule="auto"/>
      </w:pPr>
      <w:r>
        <w:rPr>
          <w:rFonts w:ascii="Times New Roman" w:hAnsi="Times New Roman"/>
          <w:b w:val="0"/>
          <w:i w:val="0"/>
          <w:sz w:val="20"/>
        </w:rPr>
        <w:t xml:space="preserve">Ministry of Health, Labour and Welfare (2024b), </w:t>
      </w:r>
      <w:r>
        <w:rPr>
          <w:rFonts w:ascii="Times New Roman" w:hAnsi="Times New Roman"/>
          <w:b w:val="0"/>
          <w:i/>
          <w:sz w:val="20"/>
        </w:rPr>
        <w:t>Survey of medical institutions (Dynamic).</w:t>
      </w:r>
      <w:r>
        <w:rPr>
          <w:rFonts w:ascii="Times New Roman" w:hAnsi="Times New Roman"/>
          <w:b w:val="0"/>
          <w:i w:val="0"/>
          <w:sz w:val="20"/>
        </w:rPr>
        <w:t xml:space="preserve"> Tokyo: MHLW. Available at: https://www.mhlw.go.jp/toukei/list/79-1a.html (Accessed 11 August 2026).</w:t>
      </w:r>
    </w:p>
    <w:p>
      <w:pPr>
        <w:spacing w:line="360" w:lineRule="auto"/>
      </w:pPr>
      <w:r>
        <w:rPr>
          <w:rFonts w:ascii="Times New Roman" w:hAnsi="Times New Roman"/>
          <w:b w:val="0"/>
          <w:i w:val="0"/>
          <w:sz w:val="20"/>
        </w:rPr>
        <w:t>Morita, H. (2018), '</w:t>
      </w:r>
      <w:r>
        <w:rPr>
          <w:rFonts w:ascii="Times New Roman" w:hAnsi="Times New Roman"/>
          <w:b w:val="0"/>
          <w:i w:val="0"/>
          <w:sz w:val="20"/>
        </w:rPr>
        <w:t>Criminal prosecution and physician supply</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55: 1-11.</w:t>
      </w:r>
    </w:p>
    <w:p>
      <w:pPr>
        <w:spacing w:line="360" w:lineRule="auto"/>
      </w:pPr>
      <w:r>
        <w:rPr>
          <w:rFonts w:ascii="Times New Roman" w:hAnsi="Times New Roman"/>
          <w:b w:val="0"/>
          <w:i w:val="0"/>
          <w:sz w:val="20"/>
        </w:rPr>
        <w:t>Nikkei Inc (2024), Nikkei Telecom 21. Tokyo: Nikkei Inc. Available at: https://telecom.nikkei.co.jp/ (Accessed 2024).</w:t>
      </w:r>
    </w:p>
    <w:p>
      <w:pPr>
        <w:spacing w:line="360" w:lineRule="auto"/>
      </w:pPr>
      <w:r>
        <w:rPr>
          <w:rFonts w:ascii="Times New Roman" w:hAnsi="Times New Roman"/>
          <w:b w:val="0"/>
          <w:i w:val="0"/>
          <w:sz w:val="20"/>
        </w:rPr>
        <w:t>Samuelson, W. and Zeckhauser, R. (1988), '</w:t>
      </w:r>
      <w:r>
        <w:rPr>
          <w:rFonts w:ascii="Times New Roman" w:hAnsi="Times New Roman"/>
          <w:b w:val="0"/>
          <w:i w:val="0"/>
          <w:sz w:val="20"/>
        </w:rPr>
        <w:t>Status quo bias in decision making</w:t>
      </w:r>
      <w:r>
        <w:rPr>
          <w:rFonts w:ascii="Times New Roman" w:hAnsi="Times New Roman"/>
          <w:b w:val="0"/>
          <w:i w:val="0"/>
          <w:sz w:val="20"/>
        </w:rPr>
        <w:t xml:space="preserve">', </w:t>
      </w:r>
      <w:r>
        <w:rPr>
          <w:rFonts w:ascii="Times New Roman" w:hAnsi="Times New Roman"/>
          <w:b w:val="0"/>
          <w:i/>
          <w:sz w:val="20"/>
        </w:rPr>
        <w:t>J Risk Uncertain</w:t>
      </w:r>
      <w:r>
        <w:rPr>
          <w:rFonts w:ascii="Times New Roman" w:hAnsi="Times New Roman"/>
          <w:b w:val="0"/>
          <w:i w:val="0"/>
          <w:sz w:val="20"/>
        </w:rPr>
        <w:t>. 1(1): 7-59.</w:t>
      </w:r>
    </w:p>
    <w:p>
      <w:pPr>
        <w:spacing w:line="360" w:lineRule="auto"/>
      </w:pPr>
      <w:r>
        <w:rPr>
          <w:rFonts w:ascii="Times New Roman" w:hAnsi="Times New Roman"/>
          <w:b w:val="0"/>
          <w:i w:val="0"/>
          <w:sz w:val="20"/>
        </w:rPr>
        <w:t>Schuirmann, D.J. (1987), '</w:t>
      </w:r>
      <w:r>
        <w:rPr>
          <w:rFonts w:ascii="Times New Roman" w:hAnsi="Times New Roman"/>
          <w:b w:val="0"/>
          <w:i w:val="0"/>
          <w:sz w:val="20"/>
        </w:rPr>
        <w:t>A comparison of the two one-sided tests procedure and the power approach for assessing the equivalence of average bioavailability</w:t>
      </w:r>
      <w:r>
        <w:rPr>
          <w:rFonts w:ascii="Times New Roman" w:hAnsi="Times New Roman"/>
          <w:b w:val="0"/>
          <w:i w:val="0"/>
          <w:sz w:val="20"/>
        </w:rPr>
        <w:t xml:space="preserve">', </w:t>
      </w:r>
      <w:r>
        <w:rPr>
          <w:rFonts w:ascii="Times New Roman" w:hAnsi="Times New Roman"/>
          <w:b w:val="0"/>
          <w:i/>
          <w:sz w:val="20"/>
        </w:rPr>
        <w:t>J Pharmacokinet Biopharm</w:t>
      </w:r>
      <w:r>
        <w:rPr>
          <w:rFonts w:ascii="Times New Roman" w:hAnsi="Times New Roman"/>
          <w:b w:val="0"/>
          <w:i w:val="0"/>
          <w:sz w:val="20"/>
        </w:rPr>
        <w:t>. 15(6): 657-680.</w:t>
      </w:r>
    </w:p>
    <w:p>
      <w:pPr>
        <w:spacing w:line="360" w:lineRule="auto"/>
      </w:pPr>
      <w:r>
        <w:rPr>
          <w:rFonts w:ascii="Times New Roman" w:hAnsi="Times New Roman"/>
          <w:b w:val="0"/>
          <w:i w:val="0"/>
          <w:sz w:val="20"/>
        </w:rPr>
        <w:t>Sloan, F.A. and Shadle, J.H. (2008), '</w:t>
      </w:r>
      <w:r>
        <w:rPr>
          <w:rFonts w:ascii="Times New Roman" w:hAnsi="Times New Roman"/>
          <w:b w:val="0"/>
          <w:i w:val="0"/>
          <w:sz w:val="20"/>
        </w:rPr>
        <w:t>Is there empirical evidence for "Defensive Medicine"? A reassessment</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27(2): 481-491.</w:t>
      </w:r>
    </w:p>
    <w:p>
      <w:pPr>
        <w:spacing w:line="360" w:lineRule="auto"/>
      </w:pPr>
      <w:r>
        <w:rPr>
          <w:rFonts w:ascii="Times New Roman" w:hAnsi="Times New Roman"/>
          <w:b w:val="0"/>
          <w:i w:val="0"/>
          <w:sz w:val="20"/>
        </w:rPr>
        <w:t>Studdert, D.M., Mello, M.M. and Brennan, T.A. (2004), '</w:t>
      </w:r>
      <w:r>
        <w:rPr>
          <w:rFonts w:ascii="Times New Roman" w:hAnsi="Times New Roman"/>
          <w:b w:val="0"/>
          <w:i w:val="0"/>
          <w:sz w:val="20"/>
        </w:rPr>
        <w:t>Medical malpractice</w:t>
      </w:r>
      <w:r>
        <w:rPr>
          <w:rFonts w:ascii="Times New Roman" w:hAnsi="Times New Roman"/>
          <w:b w:val="0"/>
          <w:i w:val="0"/>
          <w:sz w:val="20"/>
        </w:rPr>
        <w:t xml:space="preserve">', </w:t>
      </w:r>
      <w:r>
        <w:rPr>
          <w:rFonts w:ascii="Times New Roman" w:hAnsi="Times New Roman"/>
          <w:b w:val="0"/>
          <w:i/>
          <w:sz w:val="20"/>
        </w:rPr>
        <w:t>N Engl J Med</w:t>
      </w:r>
      <w:r>
        <w:rPr>
          <w:rFonts w:ascii="Times New Roman" w:hAnsi="Times New Roman"/>
          <w:b w:val="0"/>
          <w:i w:val="0"/>
          <w:sz w:val="20"/>
        </w:rPr>
        <w:t>. 350(3): 283-292.</w:t>
      </w:r>
    </w:p>
    <w:p>
      <w:pPr>
        <w:spacing w:line="360" w:lineRule="auto"/>
      </w:pPr>
      <w:r>
        <w:rPr>
          <w:rFonts w:ascii="Times New Roman" w:hAnsi="Times New Roman"/>
          <w:b w:val="0"/>
          <w:i w:val="0"/>
          <w:sz w:val="20"/>
        </w:rPr>
        <w:t xml:space="preserve">Supreme Court of Japan, Committee on Medical Litigation (2024), </w:t>
      </w:r>
      <w:r>
        <w:rPr>
          <w:rFonts w:ascii="Times New Roman" w:hAnsi="Times New Roman"/>
          <w:b w:val="0"/>
          <w:i/>
          <w:sz w:val="20"/>
        </w:rPr>
        <w:t>Statistics on medical malpractice litigation (closed cases by specialty).</w:t>
      </w:r>
      <w:r>
        <w:rPr>
          <w:rFonts w:ascii="Times New Roman" w:hAnsi="Times New Roman"/>
          <w:b w:val="0"/>
          <w:i w:val="0"/>
          <w:sz w:val="20"/>
        </w:rPr>
        <w:t xml:space="preserve"> Tokyo: Supreme Court of Japan. Available at: https://www.courts.go.jp/ (Accessed 11 August 2026).</w:t>
      </w:r>
    </w:p>
    <w:p>
      <w:pPr>
        <w:spacing w:line="360" w:lineRule="auto"/>
      </w:pPr>
      <w:r>
        <w:rPr>
          <w:rFonts w:ascii="Times New Roman" w:hAnsi="Times New Roman"/>
          <w:b w:val="0"/>
          <w:i w:val="0"/>
          <w:sz w:val="20"/>
        </w:rPr>
        <w:t>Taniguchi, K., Watari, T. and Nagoshi, K. (2023), '</w:t>
      </w:r>
      <w:r>
        <w:rPr>
          <w:rFonts w:ascii="Times New Roman" w:hAnsi="Times New Roman"/>
          <w:b w:val="0"/>
          <w:i w:val="0"/>
          <w:sz w:val="20"/>
        </w:rPr>
        <w:t>Characteristics and trends of medical malpractice claims in Japan between 2006 and 2021</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18(12): e0296155.</w:t>
      </w:r>
    </w:p>
    <w:p>
      <w:pPr>
        <w:spacing w:line="360" w:lineRule="auto"/>
      </w:pPr>
      <w:r>
        <w:rPr>
          <w:rFonts w:ascii="Times New Roman" w:hAnsi="Times New Roman"/>
          <w:b w:val="0"/>
          <w:i w:val="0"/>
          <w:sz w:val="20"/>
        </w:rPr>
        <w:t>Tversky, A. and Kahneman, D. (1973), '</w:t>
      </w:r>
      <w:r>
        <w:rPr>
          <w:rFonts w:ascii="Times New Roman" w:hAnsi="Times New Roman"/>
          <w:b w:val="0"/>
          <w:i w:val="0"/>
          <w:sz w:val="20"/>
        </w:rPr>
        <w:t>Availability: a heuristic for judging frequency and probability</w:t>
      </w:r>
      <w:r>
        <w:rPr>
          <w:rFonts w:ascii="Times New Roman" w:hAnsi="Times New Roman"/>
          <w:b w:val="0"/>
          <w:i w:val="0"/>
          <w:sz w:val="20"/>
        </w:rPr>
        <w:t xml:space="preserve">', </w:t>
      </w:r>
      <w:r>
        <w:rPr>
          <w:rFonts w:ascii="Times New Roman" w:hAnsi="Times New Roman"/>
          <w:b w:val="0"/>
          <w:i/>
          <w:sz w:val="20"/>
        </w:rPr>
        <w:t>Cogn Psychol</w:t>
      </w:r>
      <w:r>
        <w:rPr>
          <w:rFonts w:ascii="Times New Roman" w:hAnsi="Times New Roman"/>
          <w:b w:val="0"/>
          <w:i w:val="0"/>
          <w:sz w:val="20"/>
        </w:rPr>
        <w:t>. 5(2): 207-232.</w:t>
      </w:r>
    </w:p>
    <w:p>
      <w:pPr>
        <w:spacing w:line="360" w:lineRule="auto"/>
      </w:pPr>
      <w:r>
        <w:rPr>
          <w:rFonts w:ascii="Times New Roman" w:hAnsi="Times New Roman"/>
          <w:b w:val="0"/>
          <w:i w:val="0"/>
          <w:sz w:val="20"/>
        </w:rPr>
        <w:t>von Elm, E., Altman, D.G., Egger, M., et al. (2007), '</w:t>
      </w:r>
      <w:r>
        <w:rPr>
          <w:rFonts w:ascii="Times New Roman" w:hAnsi="Times New Roman"/>
          <w:b w:val="0"/>
          <w:i w:val="0"/>
          <w:sz w:val="20"/>
        </w:rPr>
        <w:t>The STROBE statement</w:t>
      </w:r>
      <w:r>
        <w:rPr>
          <w:rFonts w:ascii="Times New Roman" w:hAnsi="Times New Roman"/>
          <w:b w:val="0"/>
          <w:i w:val="0"/>
          <w:sz w:val="20"/>
        </w:rPr>
        <w:t xml:space="preserve">', </w:t>
      </w:r>
      <w:r>
        <w:rPr>
          <w:rFonts w:ascii="Times New Roman" w:hAnsi="Times New Roman"/>
          <w:b w:val="0"/>
          <w:i/>
          <w:sz w:val="20"/>
        </w:rPr>
        <w:t>Lancet</w:t>
      </w:r>
      <w:r>
        <w:rPr>
          <w:rFonts w:ascii="Times New Roman" w:hAnsi="Times New Roman"/>
          <w:b w:val="0"/>
          <w:i w:val="0"/>
          <w:sz w:val="20"/>
        </w:rPr>
        <w:t>. 370(9596): 1453-1457.</w:t>
      </w:r>
    </w:p>
    <w:p>
      <w:pPr>
        <w:pStyle w:val="Heading1"/>
      </w:pPr>
      <w:r>
        <w:rPr>
          <w:rFonts w:ascii="Times New Roman" w:hAnsi="Times New Roman"/>
          <w:color w:val="000000"/>
        </w:rPr>
        <w:t>Figures and Tables</w:t>
      </w:r>
    </w:p>
    <w:p>
      <w:pPr>
        <w:spacing w:before="280" w:after="120"/>
      </w:pPr>
      <w:r>
        <w:rPr>
          <w:rFonts w:ascii="Times New Roman" w:hAnsi="Times New Roman"/>
          <w:b/>
          <w:sz w:val="20"/>
        </w:rPr>
        <w:t>Table 1. Physicians, litigation rate (per 1,000 physicians) and hospital facilities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 facilities 2008</w:t>
            </w:r>
          </w:p>
        </w:tc>
        <w:tc>
          <w:tcPr>
            <w:tcW w:type="dxa" w:w="1337"/>
          </w:tcPr>
          <w:p>
            <w:pPr>
              <w:jc w:val="center"/>
            </w:pPr>
            <w:r>
              <w:rPr>
                <w:rFonts w:ascii="Times New Roman" w:hAnsi="Times New Roman"/>
                <w:b/>
                <w:sz w:val="18"/>
              </w:rPr>
              <w:t>Hospital facilities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spacing w:before="280" w:after="120"/>
      </w:pPr>
      <w:r>
        <w:rPr>
          <w:rFonts w:ascii="Times New Roman" w:hAnsi="Times New Roman"/>
          <w:b/>
          <w:sz w:val="20"/>
        </w:rPr>
        <w:t>Figure 1. Equivalence (TOST) of the litigation-rate effect against +/-1% and +/-2% margins; horizontal bars are 90% confidence intervals.</w:t>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facility-count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facility-count growth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(workforce-&gt;litigation)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
      <w:pPr>
        <w:spacing w:before="280" w:after="120"/>
      </w:pPr>
      <w:r>
        <w:rPr>
          <w:rFonts w:ascii="Times New Roman" w:hAnsi="Times New Roman"/>
          <w:b/>
          <w:sz w:val="20"/>
        </w:rPr>
        <w:t>Figure 3. Biennial hospital facility-count growth against lagged litigation exposure measured as (a) counts and (b) rates. Points are coloured by specialty; the rate-adjusted panel shows no systematic association.</w:t>
      </w:r>
    </w:p>
    <w:p/>
    <w:p>
      <w:pPr>
        <w:spacing w:before="280" w:after="120"/>
      </w:pPr>
      <w:r>
        <w:rPr>
          <w:rFonts w:ascii="Times New Roman" w:hAnsi="Times New Roman"/>
          <w:b/>
          <w:sz w:val="20"/>
        </w:rPr>
        <w:t>Figure 4. Counterfactual policy simulation: marginal 10-year change in physician counts by specialty relative to the projected baseline drift. The MDE benchmark is the minimum detectable per-SD effect from the primary analysis.</w:t>
      </w:r>
    </w:p>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to the editor on request.</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