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Risk perception versus structural incentives in physician specialty choice: a Japanese panel study</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persistent workforce problem, and malpractice litigation is often assumed to push physicians away from high-risk fields. Using national administrative data for 12 clinical specialties in Japan (2008-2024), we tested whether litigation risk predicts physician supply and hospital facility counts. Exposure was malpractice claims per 1,000 physicians; we regressed biennial log-changes in physician and facility counts on the lagged litigation rate using specialty and wave fixed effects, clustered standard errors, and equivalence tests. Litigation rate was unrelated to physician growth (coefficient -0.0009; 95% CI -0.0043 to +0.0025; p=0.56) or facility-count growth (p=0.90), and a one-SD higher rate shifted physician growth by less than +/-1% (TOST p=0.023). Although perceived risk is high, structural incentives -- training costs, fee-for-service income, and status-quo bias -- keep physicians in high-risk fields. Reducing litigation exposure is unlikely to correct specialty maldistribution; no-fault compensation and payment design are more promising.</w:t>
      </w:r>
    </w:p>
    <w:p>
      <w:pPr>
        <w:spacing w:after="360"/>
      </w:pPr>
      <w:r>
        <w:rPr>
          <w:rFonts w:ascii="Times New Roman" w:hAnsi="Times New Roman"/>
          <w:b/>
        </w:rPr>
        <w:t xml:space="preserve">Keywords: </w:t>
      </w:r>
      <w:r>
        <w:rPr>
          <w:rFonts w:ascii="Times New Roman" w:hAnsi="Times New Roman"/>
          <w:b w:val="0"/>
          <w:i w:val="0"/>
          <w:sz w:val="24"/>
        </w:rPr>
        <w:t>behavioural public policy; malpractice litigation; physician workforce; risk perception; equivalence testing; structural incentives</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healthcare workforce problem: high-acuity fields such as surgery, obstetrics and gynaecology, paediatrics and anaesthesiology are widely perceived as understaffed across many health systems. (Matsumoto et al., 2010) A recurring policy intuition is that the fear of malpractice litigation and medical safety incidents pushes physicians away from these high-risk specialties. (Studdert, Mello and Brennan, 2004; Hiyama et al., 2006) If this behavioural assumption were true, reducing litigation exposure would be an instrument for correcting workforce maldistribution.</w:t>
      </w:r>
    </w:p>
    <w:p>
      <w:pPr>
        <w:spacing w:line="480" w:lineRule="auto" w:after="120"/>
      </w:pPr>
      <w:r>
        <w:rPr>
          <w:rFonts w:ascii="Times New Roman" w:hAnsi="Times New Roman"/>
          <w:b w:val="0"/>
          <w:i w:val="0"/>
          <w:sz w:val="24"/>
        </w:rPr>
        <w:t>Behavioural economics suggests, however, that the link between perceived risk and actual behaviour is not automatic. Rare, salient adverse events are highly available in memory and in media coverage, and loss aversion causes a low-probability outcome to be overweighted in career deliberations. (Tversky and Kahneman, 1973; Kahneman and Tversky, 1979) At the same time, the decision to enter or leave a specialty is constrained by expected income, sunk training costs, switching costs and status-quo bias. (Samuelson and Zeckhauser, 1988) The relevant policy question is not whether physicians report anxiety about litigation, but whether that anxiety translates into aggregate workforce shifts. We treat the litigation-workforce question as a test case for evaluating a behavioural public policy instrument: can a salient, cognitively available risk be used to change the specialty distribution of physicians?</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facility counts, and the country shares the fee-for-service pressures seen in other high-income countries. (Supreme Court of Japan, 2024; Ministry of Health, Labour and Welfare, 2024a; Ministry of Health, Labour and Welfare, 2024b) It also introduced the Japan Obstetric Compensation System for Cerebral Palsy (JOCS-CP) in 2009, a no-fault scheme intended partly to address obstetric workforce concerns. (Japan Council for Quality Health Care (JOCS-CP), 2009; Hasegawa et al., 2016) Surveys of residents in Japan, Korea and Taiwan report litigation as a negative factor, but workload, lifestyle and professional interest dominate specialty choice. (Lin et al., 2022)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These pitfalls are not unique to malpractice research; they arise whenever administrative counts are used to infer behavioural responses in healthcare organisations. We address them with a transparent analytical framework that uses rates rather than counts, uses only measured biennial physician observations, and applies pre-specified equivalence testing, which can provide positive evidence for the absence of a meaningful effect rather than merely failing to reject a null. (Lakens, 2017; Schuirmann, 1987)</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 (von Elm et al., 2007) We studied 12 core clinical specialties in Japan for which the Supreme Court reports specialty-specific litigation. Three official primary series drove the main analysis: physician counts by specialty from the biennial Statistics of Physicians, Dentists and Pharmacists (Ministry of Health, Labour and Welfare, 2024a); closed malpractice claims by specialty from the Supreme Court of Japan (Supreme Court of Japan, 2024); and hospital counts by specialty from the annual Survey of Medical Institutions. (Ministry of Health, Labour and Welfare, 2024b) Hospital counts are the number of facilities reporting each specialty, not beds or staffing. Two sensitivity series were also used: annual medical accident investigation reports by specialty (2015-2024) from the Japan Medical Safety Research Organisation (Japan Medical Safety Research Organisation (JMSR), 2025) and total national newspaper article counts from Nikkei Telecom 21 (2004-2018; the sensitivity analysis uses 2009-2018; keywords: medical error + medical malpractice). (Nikkei Inc, 2024) The full extraction pipeline (with source identifiers and SHA-256 checksums) is documented in the accompanying repository (URL omitted for anonymised peer review).</w:t>
      </w:r>
    </w:p>
    <w:p>
      <w:pPr>
        <w:spacing w:line="480" w:lineRule="auto" w:after="120"/>
      </w:pPr>
      <w:r>
        <w:rPr>
          <w:rFonts w:ascii="Times New Roman" w:hAnsi="Times New Roman"/>
          <w:b w:val="0"/>
          <w:i w:val="0"/>
          <w:sz w:val="24"/>
        </w:rPr>
        <w:t>One source disagreement is documented in the extraction provenance. The 2017 internal medicine count is 179 in the consolidated Supreme Court releases (2022/2024/2025) and 181 in the contemporaneous 2017 committee minutes; we retained 179 in the primary series because it is the figure in the released statistics. (Supreme Court of Japan, 2024) The disagreement does not alter the rate-based exposure materially, but it is recorded for transparency.</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 (Supreme Court of Japan, 2024) We distinguish litigation from the Medical Accident Investigation System, which began in 2015 and covers only deaths and stillbirths judged unforeseen by the hospital administrator; it is not a general incident-reporting system and is not used as an exposure here. (Medical Accident Investigation System, 2015) Primary data sources and their resolution are summarised in Supplementary Table 1.</w:t>
      </w:r>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used a transparent sensitivity-analysis framework that varies the exposure definition (counts versus rates), panel frequency (measured biennial waves versus interpolated annual values), and potential confounders while holding the specialty-level panel structure constant. Supplementary Figure 1 summarises the framework.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 facility counts) and regressed it on the lagged litigation rate at the start of the interval, in a panel with specialty and wave fixed effects, clustered standard errors, and a JOCS-CP indicator for obstetrics and gynaecology from 2009 onward. (Angrist and Pischke, 2009) Clusters are defined by specialty, so G=12 and the small-cluster correction uses a t-distribution with G-1 degrees of freedom. (Cameron and Miller, 2015) The primary estimating equation, for specialty s and wave t, was as follows.</w:t>
      </w:r>
    </w:p>
    <w:p>
      <w:pPr>
        <w:jc w:val="center"/>
      </w:pPr>
      <m:oMath xmlns:mml="http://www.w3.org/1998/Math/MathML">
        <m:r>
          <m:t>Delta</m:t>
        </m:r>
        <m:r>
          <m:rPr>
            <m:sty m:val="p"/>
          </m:rPr>
          <m:t>log</m:t>
        </m:r>
        <m:r>
          <m:t>(</m:t>
        </m:r>
        <m:sSub>
          <m:e>
            <m:r>
              <m:t>Y</m:t>
            </m:r>
          </m:e>
          <m:sub>
            <m:r>
              <m:t>st</m:t>
            </m:r>
          </m:sub>
        </m:sSub>
        <m:r>
          <m:t>)=</m:t>
        </m:r>
        <m:sSub>
          <m:e>
            <m:r>
              <m:t>alpha</m:t>
            </m:r>
          </m:e>
          <m:sub>
            <m:r>
              <m:t>s</m:t>
            </m:r>
          </m:sub>
        </m:sSub>
        <m:r>
          <m:t>+</m:t>
        </m:r>
        <m:sSub>
          <m:e>
            <m:r>
              <m:t>delta</m:t>
            </m:r>
          </m:e>
          <m:sub>
            <m:r>
              <m:t>t</m:t>
            </m:r>
          </m:sub>
        </m:sSub>
        <m:r>
          <m:t>+beta*</m:t>
        </m:r>
        <m:sSub>
          <m:e>
            <m:r>
              <m:rPr>
                <m:nor/>
              </m:rPr>
              <m:t>litrate</m:t>
            </m:r>
          </m:e>
          <m:sub>
            <m:r>
              <m:t>s,t-1</m:t>
            </m:r>
          </m:sub>
        </m:sSub>
        <m:r>
          <m:t>+gamma*</m:t>
        </m:r>
        <m:sSub>
          <m:e>
            <m:r>
              <m:rPr>
                <m:nor/>
              </m:rPr>
              <m:t>JOCS-CP</m:t>
            </m:r>
          </m:e>
          <m:sub>
            <m:r>
              <m:t>s,t-1</m:t>
            </m:r>
          </m:sub>
        </m:sSub>
        <m:r>
          <m:t>+</m:t>
        </m:r>
        <m:sSub>
          <m:e>
            <m:r>
              <m:t>epsilon</m:t>
            </m:r>
          </m:e>
          <m:sub>
            <m:r>
              <m:t>st</m:t>
            </m:r>
          </m:sub>
        </m:sSub>
      </m:oMath>
    </w:p>
    <w:p>
      <w:pPr>
        <w:spacing w:line="480" w:lineRule="auto" w:after="120"/>
      </w:pPr>
      <w:r>
        <w:rPr>
          <w:rFonts w:ascii="Times New Roman" w:hAnsi="Times New Roman"/>
          <w:b w:val="0"/>
          <w:i w:val="0"/>
          <w:sz w:val="24"/>
        </w:rPr>
        <w:t>Here, Y is either physician counts or hospital facility counts,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 with pre-specified margins of +/-1% and +/-2% biennial workforce change. The margins were chosen to be smaller than the policy-relevant workforce shifts that structural tools have produced: for example, targeted residency subsidies raised primary-care physician supply by about 4% in a comparable setting. (McNamara and Pineda-Torres, 2025) That 4% is a total programme effect, whereas our +/-1% and +/-2% margins are biennial, so the margins are substantially smaller than the policy-relevant shift and therefore conservative. The TOST procedure itself is standard for equivalence testing. (Lakens, 2017; Schuirmann, 1987) Equivalence is declared when the per-SD coefficient lies inside the margin. Inference was complemented by a cluster block-bootstrap (B = 1,999) and by the minimum detectable effect (MDE) at 80% power and the power to declare equivalence when the true effect is zero. Full formulas and the heterogeneity and time-trend sensitivity checks are given in Supplementary Note 1.</w:t>
      </w:r>
    </w:p>
    <w:p>
      <w:pPr>
        <w:pStyle w:val="Heading2"/>
      </w:pPr>
      <w:r>
        <w:rPr>
          <w:rFonts w:ascii="Times New Roman" w:hAnsi="Times New Roman"/>
          <w:color w:val="000000"/>
        </w:rPr>
        <w:t>Policy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scenarios. The baseline used each specialty's observed mean biennial log-growth from 2004 to 2024. The two litigation-reduction scenarios set the litigation rate to zero and applied the point estimate and the 95% lower-bound coefficient, respectively, so they show both the central projection and the most favourable effect consistent with the data. The third scenario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confidence intervals and two-sided p-values use the small-cluster correction with G-1 = 11 degrees of freedom. (Cameron and Miller, 2015) The JOCS-CP indicator captures the post-2009 obstetrics-and-gynaecology period. (JOCS-CP, 2009) Sensitivity analyses repeat the models on the annual hospital series, an interpolated annual-physician series, raw counts instead of rates, and annual hospital series controlling for the JMSR report rate (2016-2024) or total Nikkei Telecom article counts (2009-2018); details are in Supplementary Table 1. The JOCS-CP indicator and all sensitivity models are exploratory; we report raw and Holm step-down adjusted p-values. Code and data are available in the accompanying repository (URL omitted for anonymised peer review).</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nearly flat (-2.3% across 16 years). Exposure and workforce did not move in opposite directions as a flight-from-risk account would predict.</w:t>
      </w:r>
    </w:p>
    <w:p>
      <w:pPr>
        <w:spacing w:before="280" w:after="120"/>
      </w:pPr>
      <w:r>
        <w:rPr>
          <w:rFonts w:ascii="Times New Roman" w:hAnsi="Times New Roman"/>
          <w:b/>
          <w:sz w:val="20"/>
        </w:rPr>
        <w:t>Table 1. Physicians, litigation rate (per 1,000 physicians) and hospital facilities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 facilities 2008</w:t>
            </w:r>
          </w:p>
        </w:tc>
        <w:tc>
          <w:tcPr>
            <w:tcW w:type="dxa" w:w="1337"/>
          </w:tcPr>
          <w:p>
            <w:pPr>
              <w:jc w:val="center"/>
            </w:pPr>
            <w:r>
              <w:rPr>
                <w:rFonts w:ascii="Times New Roman" w:hAnsi="Times New Roman"/>
                <w:b/>
                <w:sz w:val="18"/>
              </w:rPr>
              <w:t>Hospital facilities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facility-count growth (coefficient +0.0003; p=0.90). Equivalence testing (Figure 1; Table 2) showed that a 1-SD higher litigation rate changed biennial physician growth by less than +/-1% (TOST p=0.023; point estimate -0.21% with 90% CI -0.84% to +0.42%). For hospital facility-count growth the point estimate was +0.07% (90% CI -0.91% to +1.06%): it was within the +/-2% margin (p=0.002) but not the stricter +/-1% margin (p=0.059). Thus the data are consistent with the absence of a policy-relevant effect on physician growth, and with at most a small effect on hospital facility-count growth. Detailed TOST results by margin are reported in Supplementary Table 2.</w:t>
      </w:r>
    </w:p>
    <w:p>
      <w:pPr>
        <w:spacing w:before="280"/>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Pr>
        <w:spacing w:after="120"/>
      </w:pPr>
      <w:r>
        <w:rPr>
          <w:rFonts w:ascii="Times New Roman" w:hAnsi="Times New Roman"/>
          <w:b/>
          <w:sz w:val="20"/>
        </w:rPr>
        <w:t>Figure 1. Equivalence (TOST) of the litigation-rate effect against +/-1% and +/-2% margins; horizontal bars are 90% confidence intervals.</w:t>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facility-count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facility-count growth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(workforce-&gt;litigation)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 xml:space="preserve"> -- </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holds across panel frequency and exposure definition. The JOCS-CP indicator was positive in sign in the obstetric-hospital model (coefficient +0.024, raw p=0.013), but it did not remain significant after the small-cluster correction and Holm adjustment for the exploratory sensitivity family (Holm p=0.250); we treat it as exploratory and do not interpret it as a causal policy effect.</w:t>
      </w:r>
    </w:p>
    <w:p>
      <w:pPr>
        <w:spacing w:before="280"/>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
      <w:pPr>
        <w:spacing w:line="480" w:lineRule="auto" w:after="120"/>
      </w:pPr>
      <w:r>
        <w:rPr>
          <w:rFonts w:ascii="Times New Roman" w:hAnsi="Times New Roman"/>
          <w:b w:val="0"/>
          <w:i w:val="0"/>
          <w:sz w:val="24"/>
        </w:rPr>
        <w:t>The same count-versus-rate contrast for biennial hospital facility-count growth is shown in Figure 3. As with physician growth, the count exposure creates a spurious size confound that disappears once the rate-adjusted exposure is used.</w:t>
      </w:r>
    </w:p>
    <w:p>
      <w:pPr>
        <w:spacing w:before="280"/>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ha_Figure_3.png"/>
                    <pic:cNvPicPr/>
                  </pic:nvPicPr>
                  <pic:blipFill>
                    <a:blip r:embed="rId11"/>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3. Biennial hospital facility-count growth against lagged litigation exposure measured as (a) counts and (b) rates. Points are coloured by specialty; the rate-adjusted panel shows no systematic association.</w:t>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 (JMSR, 2025)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facility-count growth for 2016-2024 that included both the lagged litigation rate and the lagged JMSR report rate left the litigation coefficient little changed (+0.0021; p=0.28) and the JMSR term was not associated with hospital facility-count growth (p=0.66; Supplementary Table 3). The null litigation result is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 (Nikkei Inc, 2024)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facility-count growth for 2009-2018 that included both the lagged litigation rate and the lagged article count (per 1,000 articles) left the litigation coefficient little changed and the media term was not associated with hospital facility-count growth (p=0.21; Supplementary Table 4). Media coverage does not explain the null litigation effect either. Holm step-down adjusted p-values for the exploratory sensitivity family are reported in Supplementary Table 5.</w:t>
      </w:r>
    </w:p>
    <w:p>
      <w:pPr>
        <w:pStyle w:val="Heading2"/>
      </w:pPr>
      <w:r>
        <w:rPr>
          <w:rFonts w:ascii="Times New Roman" w:hAnsi="Times New Roman"/>
          <w:color w:val="000000"/>
        </w:rPr>
        <w:t>Small-cluster validation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facility-count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facility-count growth the minimum detectable effect was 1.69% per SD and the equivalent power for the +/-1% margin was 90.4%. The panel is informative enough to rule out policy-relevant effects for physicians, and to bound any hospital effect within a small margin.</w:t>
      </w:r>
    </w:p>
    <w:p>
      <w:pPr>
        <w:spacing w:line="480" w:lineRule="auto" w:after="120"/>
      </w:pPr>
      <w:r>
        <w:rPr>
          <w:rFonts w:ascii="Times New Roman" w:hAnsi="Times New Roman"/>
          <w:b w:val="0"/>
          <w:i w:val="0"/>
          <w:sz w:val="24"/>
        </w:rPr>
        <w:t>Full bootstrap diagnostics and power calculations are reported in Supplementary Table 6.</w:t>
      </w:r>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benchmark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scenario are reported in Supplementary Table 7; Figure 4 summarises the same information as marginal percentage changes. Litigation reduction is not a high-impact instrument for workforce allocation in this setting.</w:t>
      </w:r>
    </w:p>
    <w:p>
      <w:pPr>
        <w:spacing w:before="280"/>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ha_Figure_4.png"/>
                    <pic:cNvPicPr/>
                  </pic:nvPicPr>
                  <pic:blipFill>
                    <a:blip r:embed="rId12"/>
                    <a:stretch>
                      <a:fillRect/>
                    </a:stretch>
                  </pic:blipFill>
                  <pic:spPr>
                    <a:xfrm>
                      <a:off x="0" y="0"/>
                      <a:ext cx="5303520" cy="2410691"/>
                    </a:xfrm>
                    <a:prstGeom prst="rect"/>
                  </pic:spPr>
                </pic:pic>
              </a:graphicData>
            </a:graphic>
          </wp:inline>
        </w:drawing>
      </w:r>
    </w:p>
    <w:p>
      <w:pPr>
        <w:spacing w:after="120"/>
      </w:pPr>
      <w:r>
        <w:rPr>
          <w:rFonts w:ascii="Times New Roman" w:hAnsi="Times New Roman"/>
          <w:b/>
          <w:sz w:val="20"/>
        </w:rPr>
        <w:t>Figure 4. Counterfactual policy simulation: marginal 10-year change in physician counts by specialty relative to the projected baseline drift. The MDE benchmark is the minimum detectable per-SD effect from the primary analysis.</w:t>
      </w:r>
    </w:p>
    <w:p/>
    <w:p>
      <w:pPr>
        <w:pStyle w:val="Heading2"/>
      </w:pPr>
      <w:r>
        <w:rPr>
          <w:rFonts w:ascii="Times New Roman" w:hAnsi="Times New Roman"/>
          <w:color w:val="000000"/>
        </w:rPr>
        <w:t>Training-system context</w:t>
      </w:r>
    </w:p>
    <w:p>
      <w:pPr>
        <w:spacing w:line="480" w:lineRule="auto" w:after="120"/>
      </w:pPr>
      <w:r>
        <w:rPr>
          <w:rFonts w:ascii="Times New Roman" w:hAnsi="Times New Roman"/>
          <w:b w:val="0"/>
          <w:i w:val="0"/>
          <w:sz w:val="24"/>
        </w:rPr>
        <w:t>As a reference for the size of the specialist-training pipeline, first-year specialist-trainee (senkoi) positions in 2018 covered 18.3% of physicians in the third to fifth year after medical registration in 2014 (weighted by specialty stock), with specialty-specific coverage ranging from 7.2% (paediatrics) to 81.7% (surgery). (Ministry of Health, Labour and Welfare, 2018; Ministry of Health, Labour and Welfare, 2015) These coverage rates are not an outcome of the litigation-risk model, but they confirm that the 12 primary specialties capture the main initial specialization decision in Japan; Supplementary Table 8 reports the counts by specialty.</w:t>
      </w:r>
    </w:p>
    <w:p>
      <w:pPr>
        <w:pStyle w:val="Heading2"/>
      </w:pPr>
      <w:r>
        <w:rPr>
          <w:rFonts w:ascii="Times New Roman" w:hAnsi="Times New Roman"/>
          <w:color w:val="000000"/>
        </w:rPr>
        <w:t>Heterogeneity and trend sensitivity</w:t>
      </w:r>
    </w:p>
    <w:p>
      <w:pPr>
        <w:spacing w:line="480" w:lineRule="auto" w:after="120"/>
      </w:pPr>
      <w:r>
        <w:rPr>
          <w:rFonts w:ascii="Times New Roman" w:hAnsi="Times New Roman"/>
          <w:b w:val="0"/>
          <w:i w:val="0"/>
          <w:sz w:val="24"/>
        </w:rPr>
        <w:t>We tested whether the null association concealed a differential response in high-litigation or surgical specialties, or whether it depended on assuming common wave fixed effects. In high-litigation specialties the main litigation coefficient for physician growth was +0.0098 (p=0.27) and the interaction was -0.0119 (p=0.24); for hospital facility-count growth the main coefficient was -0.0001 (p=0.99) and the interaction was +0.0004 (p=0.93). For the surgical-specialty interaction the physician main effect was -0.0045 (p=0.24) and the interaction was +0.0057 (p=0.39); for hospital facility-count growth the main effect was +0.0044 (p=0.12) and the interaction was -0.0066 (p=0.06). Allowing specialty-specific linear trends also left the litigation coefficient small and non-significant for physician growth (+0.0010; p=0.73) and hospital facility-count growth (+0.0027; p=0.11). None of the interactions or trend-stability checks suggest that a negative litigation effect is hiding in a clinically exposed subgroup (Supplementary Table 9).</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facility-count growth is smaller than 2% (but not confidently smaller than 1%). These data do not support the hypothesis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behavioural public policy, this is an important distinction: a widely discussed risk can be highly available and emotionally salient without being a reliable policy tool. The public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Behavioural mechanisms</w:t>
      </w:r>
    </w:p>
    <w:p>
      <w:pPr>
        <w:spacing w:line="480" w:lineRule="auto" w:after="120"/>
      </w:pPr>
      <w:r>
        <w:rPr>
          <w:rFonts w:ascii="Times New Roman" w:hAnsi="Times New Roman"/>
          <w:b w:val="0"/>
          <w:i w:val="0"/>
          <w:sz w:val="24"/>
        </w:rPr>
        <w:t>Several behavioural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 (Kessler and McClellan, 1996) Subsequent reassessments have debated the magnitude and consistency of this effect, but the conceptual point remains: physicians can respond to liability risk by changing how they practise rather than by exiting a specialty. (Sloan and Shadle, 2008)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behavioural-economics mechanisms. Media coverage of sensational malpractice or criminal prosecutions makes litigation risk highly available to physicians and trainees, and loss aversion can cause a rare but salient adverse outcome to be overweighted in career deliberations. (Tversky and Kahneman, 1973; Kahneman and Tversky, 1979) Yet the decision to leave a specialty is governed by expected income, sunk training costs, switching costs and status-quo bias, all of which discourage exit even when perceived risk is high. (Samuelson and Zeckhauser, 1988) The gap between reported anxiety and measured supply is not a contradiction; it is exactly what one would expect when a vivid, low-probability risk meets strong economic and institutional incentives to remain.</w:t>
      </w:r>
    </w:p>
    <w:p>
      <w:pPr>
        <w:spacing w:line="480" w:lineRule="auto" w:after="120"/>
      </w:pPr>
      <w:r>
        <w:rPr>
          <w:rFonts w:ascii="Times New Roman" w:hAnsi="Times New Roman"/>
          <w:b w:val="0"/>
          <w:i w:val="0"/>
          <w:sz w:val="24"/>
        </w:rPr>
        <w:t>For behavioural public policy, the lesson is that changing the perceived risk alone is unlikely to alter aggregate workforce allocation when the underlying choice architecture preserves strong structural incentives to remain. Status-quo bias and loss aversion now work in the opposite direction: once a physician has incurred the sunk cost of specialty training, leaving feels like a sure loss, while the rare possibility of a malpractice judgment remains an abstract, low-probability event. No-fault compensation, payment design, and training subsidies change the payoff structure directly; litigation-avoidance messaging targets only the perceived risk. Our results suggest that the former are the more reliable tools.</w:t>
      </w:r>
    </w:p>
    <w:p>
      <w:pPr>
        <w:pStyle w:val="Heading2"/>
      </w:pPr>
      <w:r>
        <w:rPr>
          <w:rFonts w:ascii="Times New Roman" w:hAnsi="Times New Roman"/>
          <w:color w:val="000000"/>
        </w:rPr>
        <w:t>Institutional context and international evidence</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 (Taniguchi, Watari and Nagoshi, 2023) The Court data we use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 (Hasegawa et al., 2016) The hospital-level JOCS-CP indicator was directionally positive (coefficient +0.024, raw p=0.013), but it did not remain significant after the small-cluster correction and Holm adjustment for the exploratory sensitivity family (Holm p=0.250).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 (Morita, 2018)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 (Kamijo et al., 2025)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 (Lin et al., 2022)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especially in systems with low litigation volume and predictable damages. (Helland and Seabury, 2015; Matsa, 2007; Hyman et al., 2015; Frakes, Frank and Seabury, 2020) Against this backdrop, a null effect of civil litigation risk on Japanese specialty supply is not surprising.</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Reducing civil malpractice litigation is unlikely to be a powerful tool for correcting specialty maldistribution. The 10-year counterfactual showed that eliminating all claims would add only 1.1% to the projected national physician stock under the point estimate, and 5.2% under the most favourable 95% lower-bound coefficient. A generic benchmark equal to the minimum detectable effect would add 5.5%. Effects of this size are too small to rebalance a workforce whose distribution is shaped by training costs, reimbursement and seniority.</w:t>
      </w:r>
    </w:p>
    <w:p>
      <w:pPr>
        <w:spacing w:line="480" w:lineRule="auto" w:after="120"/>
      </w:pPr>
      <w:r>
        <w:rPr>
          <w:rFonts w:ascii="Times New Roman" w:hAnsi="Times New Roman"/>
          <w:b w:val="0"/>
          <w:i w:val="0"/>
          <w:sz w:val="24"/>
        </w:rPr>
        <w:t>The weak response reflects the institutional structure of career choice, not a lack of concern. Once a physician has entered a specialty, the costs of switching -- foregone fellowship income, lost seniority and professional identity -- generate powerful status-quo bias, while fee-for-service income rewards the high-acuity work that also carries litigation risk. No-fault compensation, payment design and training subsidies alter the payoffs and defaults that matter for a loss-averse trainee; they are more reliable tools than risk communication. (Samuelson and Zeckhauser, 1988; Kahneman and Tversky, 1979) New Zealand and the Nordic administrative-compensation systems show how separating compensation from blame can protect patients and providers without relying on litigation, and Japan's JOCS-CP moves in the same direction for obstetric cerebral palsy. (Bismark and Paterson, 2006; Mello, Kachalia and Studdert, 2011; Hasegawa et al., 2016)</w:t>
      </w:r>
    </w:p>
    <w:p>
      <w:pPr>
        <w:spacing w:line="480" w:lineRule="auto" w:after="120"/>
      </w:pPr>
      <w:r>
        <w:rPr>
          <w:rFonts w:ascii="Times New Roman" w:hAnsi="Times New Roman"/>
          <w:b w:val="0"/>
          <w:i w:val="0"/>
          <w:sz w:val="24"/>
        </w:rPr>
        <w:t>Information campaigns that publicise the rarity of claims are therefore unlikely to alter aggregate supply. The availability heuristic means that vivid cases dominate decision weights regardless of their frequency, so a national trend line does not remove salient exemplars from memory or media coverage. (Tversky and Kahneman, 1973; Kahneman and Tversky, 1979; Lin et al., 2022) The behavioural lesson is that policymakers should redesign the choice architecture -- payment, training slots and compensation rules -- rather than expect litigation-avoidance messaging to drive career decisions. Our null result is evidence that structural defaults and loss aversion outweigh rare-event risk perception in the aggregate workforce.</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We do not directly observe individual physicians' subjective risk perceptions, so the behavioural interpretation of the null result in terms of availability, loss aversion and status-quo bias is theoretically informed rather than directly tested. The 12 specialties correspond to the primary-specialty tier of Japan's two-tiered specialist training programme; the analysis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prefecture level cannot be fully ruled out. Cluster block-bootstrap and power diagnostics are reported in Supplementary Table 6. Because clusters are defined by the 12 specialties, the small-cluster correction uses G-1=11 degrees of freedom; this is the minimum at which cluster-level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 (Supreme Court of Japan, 2024) Finally, these findings are embedded in the country's particular legal, cultural and institutional context -- including its no-fault obstetric compensation scheme, its fee-for-service reimbursement structure and its comparatively low-volume malpractice-litigation culture -- 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From a behavioural public policy perspective, malpractice litigation is not a reliable tool for correcting specialty maldistribution in this setting. Policymakers may more productively target structural incentives, especially no-fault compensation and payment design, rather than rely on the assumption that reducing litigation will retain physicians in high-risk specialties. The transparent, reproducible sensitivity-analysis framework used here is exportable to other healthcare workforce-policy tools. More generally, the results caution against treating highly salient risks as reliable policy tools when the underlying choice architecture preserves strong structural incentives. Behavioural public policy is most effective when it redesigns the decision context rather than attempting to counteract it through information alone.</w:t>
      </w:r>
    </w:p>
    <w:p>
      <w:pPr>
        <w:pStyle w:val="Heading1"/>
      </w:pPr>
      <w:r>
        <w:rPr>
          <w:rFonts w:ascii="Times New Roman" w:hAnsi="Times New Roman"/>
          <w:color w:val="000000"/>
        </w:rPr>
        <w:t>References</w:t>
      </w:r>
    </w:p>
    <w:p>
      <w:pPr>
        <w:spacing w:line="360" w:lineRule="auto"/>
      </w:pPr>
      <w:r>
        <w:rPr>
          <w:rFonts w:ascii="Times New Roman" w:hAnsi="Times New Roman"/>
          <w:b w:val="0"/>
          <w:i w:val="0"/>
          <w:sz w:val="20"/>
        </w:rPr>
        <w:t xml:space="preserve">Angrist, J.D. and Pischke, J.S. (2009), </w:t>
      </w:r>
      <w:r>
        <w:rPr>
          <w:rFonts w:ascii="Times New Roman" w:hAnsi="Times New Roman"/>
          <w:b w:val="0"/>
          <w:i/>
          <w:sz w:val="20"/>
        </w:rPr>
        <w:t>Mostly Harmless Econometrics: An Empiricist's Companion</w:t>
      </w:r>
      <w:r>
        <w:rPr>
          <w:rFonts w:ascii="Times New Roman" w:hAnsi="Times New Roman"/>
          <w:b w:val="0"/>
          <w:i w:val="0"/>
          <w:sz w:val="20"/>
        </w:rPr>
        <w:t>. Princeton: Princeton University Press.</w:t>
      </w:r>
    </w:p>
    <w:p>
      <w:pPr>
        <w:spacing w:line="360" w:lineRule="auto"/>
      </w:pPr>
      <w:r>
        <w:rPr>
          <w:rFonts w:ascii="Times New Roman" w:hAnsi="Times New Roman"/>
          <w:b w:val="0"/>
          <w:i w:val="0"/>
          <w:sz w:val="20"/>
        </w:rPr>
        <w:t>Bismark, M. and Paterson, R. (2006), '</w:t>
      </w:r>
      <w:r>
        <w:rPr>
          <w:rFonts w:ascii="Times New Roman" w:hAnsi="Times New Roman"/>
          <w:b w:val="0"/>
          <w:i w:val="0"/>
          <w:sz w:val="20"/>
        </w:rPr>
        <w:t>No-fault compensation in New Zealand: harmonizing injury compensation, provider accountability, and patient safety</w:t>
      </w:r>
      <w:r>
        <w:rPr>
          <w:rFonts w:ascii="Times New Roman" w:hAnsi="Times New Roman"/>
          <w:b w:val="0"/>
          <w:i w:val="0"/>
          <w:sz w:val="20"/>
        </w:rPr>
        <w:t xml:space="preserve">', </w:t>
      </w:r>
      <w:r>
        <w:rPr>
          <w:rFonts w:ascii="Times New Roman" w:hAnsi="Times New Roman"/>
          <w:b w:val="0"/>
          <w:i/>
          <w:sz w:val="20"/>
        </w:rPr>
        <w:t>Health Aff</w:t>
      </w:r>
      <w:r>
        <w:rPr>
          <w:rFonts w:ascii="Times New Roman" w:hAnsi="Times New Roman"/>
          <w:b w:val="0"/>
          <w:i w:val="0"/>
          <w:sz w:val="20"/>
        </w:rPr>
        <w:t>. 25(1): 278-286.</w:t>
      </w:r>
    </w:p>
    <w:p>
      <w:pPr>
        <w:spacing w:line="360" w:lineRule="auto"/>
      </w:pPr>
      <w:r>
        <w:rPr>
          <w:rFonts w:ascii="Times New Roman" w:hAnsi="Times New Roman"/>
          <w:b w:val="0"/>
          <w:i w:val="0"/>
          <w:sz w:val="20"/>
        </w:rPr>
        <w:t>Cameron, A.C. and Miller, D.L. (2015), '</w:t>
      </w:r>
      <w:r>
        <w:rPr>
          <w:rFonts w:ascii="Times New Roman" w:hAnsi="Times New Roman"/>
          <w:b w:val="0"/>
          <w:i w:val="0"/>
          <w:sz w:val="20"/>
        </w:rPr>
        <w:t>A practitioner's guide to cluster-robust inference</w:t>
      </w:r>
      <w:r>
        <w:rPr>
          <w:rFonts w:ascii="Times New Roman" w:hAnsi="Times New Roman"/>
          <w:b w:val="0"/>
          <w:i w:val="0"/>
          <w:sz w:val="20"/>
        </w:rPr>
        <w:t xml:space="preserve">', </w:t>
      </w:r>
      <w:r>
        <w:rPr>
          <w:rFonts w:ascii="Times New Roman" w:hAnsi="Times New Roman"/>
          <w:b w:val="0"/>
          <w:i/>
          <w:sz w:val="20"/>
        </w:rPr>
        <w:t>J Hum Resour</w:t>
      </w:r>
      <w:r>
        <w:rPr>
          <w:rFonts w:ascii="Times New Roman" w:hAnsi="Times New Roman"/>
          <w:b w:val="0"/>
          <w:i w:val="0"/>
          <w:sz w:val="20"/>
        </w:rPr>
        <w:t>. 50(2): 317-372.</w:t>
      </w:r>
    </w:p>
    <w:p>
      <w:pPr>
        <w:spacing w:line="360" w:lineRule="auto"/>
      </w:pPr>
      <w:r>
        <w:rPr>
          <w:rFonts w:ascii="Times New Roman" w:hAnsi="Times New Roman"/>
          <w:b w:val="0"/>
          <w:i w:val="0"/>
          <w:sz w:val="20"/>
        </w:rPr>
        <w:t>Frakes, M.D., Frank, M.B. and Seabury, S.A. (2020), '</w:t>
      </w:r>
      <w:r>
        <w:rPr>
          <w:rFonts w:ascii="Times New Roman" w:hAnsi="Times New Roman"/>
          <w:b w:val="0"/>
          <w:i w:val="0"/>
          <w:sz w:val="20"/>
        </w:rPr>
        <w:t>The effect of malpractice law on physician supply: Evidence from negligence-standard reforms</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70: 1-16.</w:t>
      </w:r>
    </w:p>
    <w:p>
      <w:pPr>
        <w:spacing w:line="360" w:lineRule="auto"/>
      </w:pPr>
      <w:r>
        <w:rPr>
          <w:rFonts w:ascii="Times New Roman" w:hAnsi="Times New Roman"/>
          <w:b w:val="0"/>
          <w:i w:val="0"/>
          <w:sz w:val="20"/>
        </w:rPr>
        <w:t>Hasegawa, J., Toyokawa, S., Ikenoue, T., et al. (2016), '</w:t>
      </w:r>
      <w:r>
        <w:rPr>
          <w:rFonts w:ascii="Times New Roman" w:hAnsi="Times New Roman"/>
          <w:b w:val="0"/>
          <w:i w:val="0"/>
          <w:sz w:val="20"/>
        </w:rPr>
        <w:t>Relevant obstetric factors for cerebral palsy: from the Nationwide Obstetric Compensation System in Japan</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11(1): e0148122.</w:t>
      </w:r>
    </w:p>
    <w:p>
      <w:pPr>
        <w:spacing w:line="360" w:lineRule="auto"/>
      </w:pPr>
      <w:r>
        <w:rPr>
          <w:rFonts w:ascii="Times New Roman" w:hAnsi="Times New Roman"/>
          <w:b w:val="0"/>
          <w:i w:val="0"/>
          <w:sz w:val="20"/>
        </w:rPr>
        <w:t>Helland, E. and Seabury, S.A. (2015), '</w:t>
      </w:r>
      <w:r>
        <w:rPr>
          <w:rFonts w:ascii="Times New Roman" w:hAnsi="Times New Roman"/>
          <w:b w:val="0"/>
          <w:i w:val="0"/>
          <w:sz w:val="20"/>
        </w:rPr>
        <w:t>Tort reform and physician labor supply: a review of the evidence</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192-202.</w:t>
      </w:r>
    </w:p>
    <w:p>
      <w:pPr>
        <w:spacing w:line="360" w:lineRule="auto"/>
      </w:pPr>
      <w:r>
        <w:rPr>
          <w:rFonts w:ascii="Times New Roman" w:hAnsi="Times New Roman"/>
          <w:b w:val="0"/>
          <w:i w:val="0"/>
          <w:sz w:val="20"/>
        </w:rPr>
        <w:t>Hiyama, T., Yoshihara, M., Tanaka, S., et al. (2006), '</w:t>
      </w:r>
      <w:r>
        <w:rPr>
          <w:rFonts w:ascii="Times New Roman" w:hAnsi="Times New Roman"/>
          <w:b w:val="0"/>
          <w:i w:val="0"/>
          <w:sz w:val="20"/>
        </w:rPr>
        <w:t>Defensive medicine practices among gastroenterologists in Japan</w:t>
      </w:r>
      <w:r>
        <w:rPr>
          <w:rFonts w:ascii="Times New Roman" w:hAnsi="Times New Roman"/>
          <w:b w:val="0"/>
          <w:i w:val="0"/>
          <w:sz w:val="20"/>
        </w:rPr>
        <w:t xml:space="preserve">', </w:t>
      </w:r>
      <w:r>
        <w:rPr>
          <w:rFonts w:ascii="Times New Roman" w:hAnsi="Times New Roman"/>
          <w:b w:val="0"/>
          <w:i/>
          <w:sz w:val="20"/>
        </w:rPr>
        <w:t>World J Gastroenterol</w:t>
      </w:r>
      <w:r>
        <w:rPr>
          <w:rFonts w:ascii="Times New Roman" w:hAnsi="Times New Roman"/>
          <w:b w:val="0"/>
          <w:i w:val="0"/>
          <w:sz w:val="20"/>
        </w:rPr>
        <w:t>. 12(47): 7671-7675. doi:10.3748/wjg.v12.i47.7671</w:t>
      </w:r>
    </w:p>
    <w:p>
      <w:pPr>
        <w:spacing w:line="360" w:lineRule="auto"/>
      </w:pPr>
      <w:r>
        <w:rPr>
          <w:rFonts w:ascii="Times New Roman" w:hAnsi="Times New Roman"/>
          <w:b w:val="0"/>
          <w:i w:val="0"/>
          <w:sz w:val="20"/>
        </w:rPr>
        <w:t>Hyman, D.A., Silver, C., Black, B. and Paik, M. (2015), '</w:t>
      </w:r>
      <w:r>
        <w:rPr>
          <w:rFonts w:ascii="Times New Roman" w:hAnsi="Times New Roman"/>
          <w:b w:val="0"/>
          <w:i w:val="0"/>
          <w:sz w:val="20"/>
        </w:rPr>
        <w:t>Does tort reform affect physician supply? Evidence from Texas</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42: 203-218.</w:t>
      </w:r>
    </w:p>
    <w:p>
      <w:pPr>
        <w:spacing w:line="360" w:lineRule="auto"/>
      </w:pPr>
      <w:r>
        <w:rPr>
          <w:rFonts w:ascii="Times New Roman" w:hAnsi="Times New Roman"/>
          <w:b w:val="0"/>
          <w:i w:val="0"/>
          <w:sz w:val="20"/>
        </w:rPr>
        <w:t xml:space="preserve">Japan Council for Quality Health Care (JOCS-CP) (2009), </w:t>
      </w:r>
      <w:r>
        <w:rPr>
          <w:rFonts w:ascii="Times New Roman" w:hAnsi="Times New Roman"/>
          <w:b w:val="0"/>
          <w:i/>
          <w:sz w:val="20"/>
        </w:rPr>
        <w:t>Japan Obstetric Compensation System for Cerebral Palsy</w:t>
      </w:r>
      <w:r>
        <w:rPr>
          <w:rFonts w:ascii="Times New Roman" w:hAnsi="Times New Roman"/>
          <w:b w:val="0"/>
          <w:i w:val="0"/>
          <w:sz w:val="20"/>
        </w:rPr>
        <w:t>. Tokyo: Japan Council for Quality Health Care.</w:t>
      </w:r>
    </w:p>
    <w:p>
      <w:pPr>
        <w:spacing w:line="360" w:lineRule="auto"/>
      </w:pPr>
      <w:r>
        <w:rPr>
          <w:rFonts w:ascii="Times New Roman" w:hAnsi="Times New Roman"/>
          <w:b w:val="0"/>
          <w:i w:val="0"/>
          <w:sz w:val="20"/>
        </w:rPr>
        <w:t xml:space="preserve">Japan Medical Safety Research Organisation (JMSR) (2025), </w:t>
      </w:r>
      <w:r>
        <w:rPr>
          <w:rFonts w:ascii="Times New Roman" w:hAnsi="Times New Roman"/>
          <w:b w:val="0"/>
          <w:i/>
          <w:sz w:val="20"/>
        </w:rPr>
        <w:t>Annual reports of medical accident investigations (2015-2024)</w:t>
      </w:r>
      <w:r>
        <w:rPr>
          <w:rFonts w:ascii="Times New Roman" w:hAnsi="Times New Roman"/>
          <w:b w:val="0"/>
          <w:i w:val="0"/>
          <w:sz w:val="20"/>
        </w:rPr>
        <w:t>. Tokyo: JMSR.</w:t>
      </w:r>
    </w:p>
    <w:p>
      <w:pPr>
        <w:spacing w:line="360" w:lineRule="auto"/>
      </w:pPr>
      <w:r>
        <w:rPr>
          <w:rFonts w:ascii="Times New Roman" w:hAnsi="Times New Roman"/>
          <w:b w:val="0"/>
          <w:i w:val="0"/>
          <w:sz w:val="20"/>
        </w:rPr>
        <w:t>Kahneman, D. and Tversky, A. (1979), '</w:t>
      </w:r>
      <w:r>
        <w:rPr>
          <w:rFonts w:ascii="Times New Roman" w:hAnsi="Times New Roman"/>
          <w:b w:val="0"/>
          <w:i w:val="0"/>
          <w:sz w:val="20"/>
        </w:rPr>
        <w:t>Prospect theory: an analysis of decision under risk</w:t>
      </w:r>
      <w:r>
        <w:rPr>
          <w:rFonts w:ascii="Times New Roman" w:hAnsi="Times New Roman"/>
          <w:b w:val="0"/>
          <w:i w:val="0"/>
          <w:sz w:val="20"/>
        </w:rPr>
        <w:t xml:space="preserve">', </w:t>
      </w:r>
      <w:r>
        <w:rPr>
          <w:rFonts w:ascii="Times New Roman" w:hAnsi="Times New Roman"/>
          <w:b w:val="0"/>
          <w:i/>
          <w:sz w:val="20"/>
        </w:rPr>
        <w:t>Econometrica</w:t>
      </w:r>
      <w:r>
        <w:rPr>
          <w:rFonts w:ascii="Times New Roman" w:hAnsi="Times New Roman"/>
          <w:b w:val="0"/>
          <w:i w:val="0"/>
          <w:sz w:val="20"/>
        </w:rPr>
        <w:t>. 47(2): 263-291.</w:t>
      </w:r>
    </w:p>
    <w:p>
      <w:pPr>
        <w:spacing w:line="360" w:lineRule="auto"/>
      </w:pPr>
      <w:r>
        <w:rPr>
          <w:rFonts w:ascii="Times New Roman" w:hAnsi="Times New Roman"/>
          <w:b w:val="0"/>
          <w:i w:val="0"/>
          <w:sz w:val="20"/>
        </w:rPr>
        <w:t>Kamijo, K., Wada, Y., Ishida, K., Warsof, S.L., Saade, G. and Kawakita, T. (2025), '</w:t>
      </w:r>
      <w:r>
        <w:rPr>
          <w:rFonts w:ascii="Times New Roman" w:hAnsi="Times New Roman"/>
          <w:b w:val="0"/>
          <w:i w:val="0"/>
          <w:sz w:val="20"/>
        </w:rPr>
        <w:t>Medical-legal claims in obstetrics and gynecology: Japan versus the United States</w:t>
      </w:r>
      <w:r>
        <w:rPr>
          <w:rFonts w:ascii="Times New Roman" w:hAnsi="Times New Roman"/>
          <w:b w:val="0"/>
          <w:i w:val="0"/>
          <w:sz w:val="20"/>
        </w:rPr>
        <w:t xml:space="preserve">', </w:t>
      </w:r>
      <w:r>
        <w:rPr>
          <w:rFonts w:ascii="Times New Roman" w:hAnsi="Times New Roman"/>
          <w:b w:val="0"/>
          <w:i/>
          <w:sz w:val="20"/>
        </w:rPr>
        <w:t>J Healthc Risk Manag</w:t>
      </w:r>
      <w:r>
        <w:rPr>
          <w:rFonts w:ascii="Times New Roman" w:hAnsi="Times New Roman"/>
          <w:b w:val="0"/>
          <w:i w:val="0"/>
          <w:sz w:val="20"/>
        </w:rPr>
        <w:t>. 44(4): 5-11. doi:10.1002/jhrm.70001</w:t>
      </w:r>
    </w:p>
    <w:p>
      <w:pPr>
        <w:spacing w:line="360" w:lineRule="auto"/>
      </w:pPr>
      <w:r>
        <w:rPr>
          <w:rFonts w:ascii="Times New Roman" w:hAnsi="Times New Roman"/>
          <w:b w:val="0"/>
          <w:i w:val="0"/>
          <w:sz w:val="20"/>
        </w:rPr>
        <w:t>Kessler, D.P. and McClellan, M.B. (1996), '</w:t>
      </w:r>
      <w:r>
        <w:rPr>
          <w:rFonts w:ascii="Times New Roman" w:hAnsi="Times New Roman"/>
          <w:b w:val="0"/>
          <w:i w:val="0"/>
          <w:sz w:val="20"/>
        </w:rPr>
        <w:t>Do doctors practice defensive medicine?</w:t>
      </w:r>
      <w:r>
        <w:rPr>
          <w:rFonts w:ascii="Times New Roman" w:hAnsi="Times New Roman"/>
          <w:b w:val="0"/>
          <w:i w:val="0"/>
          <w:sz w:val="20"/>
        </w:rPr>
        <w:t xml:space="preserve">', </w:t>
      </w:r>
      <w:r>
        <w:rPr>
          <w:rFonts w:ascii="Times New Roman" w:hAnsi="Times New Roman"/>
          <w:b w:val="0"/>
          <w:i/>
          <w:sz w:val="20"/>
        </w:rPr>
        <w:t>Q J Econ</w:t>
      </w:r>
      <w:r>
        <w:rPr>
          <w:rFonts w:ascii="Times New Roman" w:hAnsi="Times New Roman"/>
          <w:b w:val="0"/>
          <w:i w:val="0"/>
          <w:sz w:val="20"/>
        </w:rPr>
        <w:t>. 111(2): 353-390.</w:t>
      </w:r>
    </w:p>
    <w:p>
      <w:pPr>
        <w:spacing w:line="360" w:lineRule="auto"/>
      </w:pPr>
      <w:r>
        <w:rPr>
          <w:rFonts w:ascii="Times New Roman" w:hAnsi="Times New Roman"/>
          <w:b w:val="0"/>
          <w:i w:val="0"/>
          <w:sz w:val="20"/>
        </w:rPr>
        <w:t>Lakens, D. (2017), '</w:t>
      </w:r>
      <w:r>
        <w:rPr>
          <w:rFonts w:ascii="Times New Roman" w:hAnsi="Times New Roman"/>
          <w:b w:val="0"/>
          <w:i w:val="0"/>
          <w:sz w:val="20"/>
        </w:rPr>
        <w:t>Equivalence tests: a practical primer for t tests, correlations, and meta-analyses</w:t>
      </w:r>
      <w:r>
        <w:rPr>
          <w:rFonts w:ascii="Times New Roman" w:hAnsi="Times New Roman"/>
          <w:b w:val="0"/>
          <w:i w:val="0"/>
          <w:sz w:val="20"/>
        </w:rPr>
        <w:t xml:space="preserve">', </w:t>
      </w:r>
      <w:r>
        <w:rPr>
          <w:rFonts w:ascii="Times New Roman" w:hAnsi="Times New Roman"/>
          <w:b w:val="0"/>
          <w:i/>
          <w:sz w:val="20"/>
        </w:rPr>
        <w:t>Soc Psychol Personal Sci</w:t>
      </w:r>
      <w:r>
        <w:rPr>
          <w:rFonts w:ascii="Times New Roman" w:hAnsi="Times New Roman"/>
          <w:b w:val="0"/>
          <w:i w:val="0"/>
          <w:sz w:val="20"/>
        </w:rPr>
        <w:t>. 8(4): 355-362.</w:t>
      </w:r>
    </w:p>
    <w:p>
      <w:pPr>
        <w:spacing w:line="360" w:lineRule="auto"/>
      </w:pPr>
      <w:r>
        <w:rPr>
          <w:rFonts w:ascii="Times New Roman" w:hAnsi="Times New Roman"/>
          <w:b w:val="0"/>
          <w:i w:val="0"/>
          <w:sz w:val="20"/>
        </w:rPr>
        <w:t>Lin, P.L., Huang, J.P., Fujii, T., Cho, E.H. and Huang, M.C. (2022), '</w:t>
      </w:r>
      <w:r>
        <w:rPr>
          <w:rFonts w:ascii="Times New Roman" w:hAnsi="Times New Roman"/>
          <w:b w:val="0"/>
          <w:i w:val="0"/>
          <w:sz w:val="20"/>
        </w:rPr>
        <w:t>A survey of specialty choice among obstetrics and gynecology residents in Japan, Korea, and Taiwan</w:t>
      </w:r>
      <w:r>
        <w:rPr>
          <w:rFonts w:ascii="Times New Roman" w:hAnsi="Times New Roman"/>
          <w:b w:val="0"/>
          <w:i w:val="0"/>
          <w:sz w:val="20"/>
        </w:rPr>
        <w:t xml:space="preserve">', </w:t>
      </w:r>
      <w:r>
        <w:rPr>
          <w:rFonts w:ascii="Times New Roman" w:hAnsi="Times New Roman"/>
          <w:b w:val="0"/>
          <w:i/>
          <w:sz w:val="20"/>
        </w:rPr>
        <w:t>J Obstet Gynaecol Res</w:t>
      </w:r>
      <w:r>
        <w:rPr>
          <w:rFonts w:ascii="Times New Roman" w:hAnsi="Times New Roman"/>
          <w:b w:val="0"/>
          <w:i w:val="0"/>
          <w:sz w:val="20"/>
        </w:rPr>
        <w:t>. 48(7): 1968-1977.</w:t>
      </w:r>
    </w:p>
    <w:p>
      <w:pPr>
        <w:spacing w:line="360" w:lineRule="auto"/>
      </w:pPr>
      <w:r>
        <w:rPr>
          <w:rFonts w:ascii="Times New Roman" w:hAnsi="Times New Roman"/>
          <w:b w:val="0"/>
          <w:i w:val="0"/>
          <w:sz w:val="20"/>
        </w:rPr>
        <w:t>Matsa, D.A. (2007), '</w:t>
      </w:r>
      <w:r>
        <w:rPr>
          <w:rFonts w:ascii="Times New Roman" w:hAnsi="Times New Roman"/>
          <w:b w:val="0"/>
          <w:i w:val="0"/>
          <w:sz w:val="20"/>
        </w:rPr>
        <w:t>Does malpractice liability keep the doctor away? Evidence from tort reform damage caps</w:t>
      </w:r>
      <w:r>
        <w:rPr>
          <w:rFonts w:ascii="Times New Roman" w:hAnsi="Times New Roman"/>
          <w:b w:val="0"/>
          <w:i w:val="0"/>
          <w:sz w:val="20"/>
        </w:rPr>
        <w:t xml:space="preserve">', </w:t>
      </w:r>
      <w:r>
        <w:rPr>
          <w:rFonts w:ascii="Times New Roman" w:hAnsi="Times New Roman"/>
          <w:b w:val="0"/>
          <w:i/>
          <w:sz w:val="20"/>
        </w:rPr>
        <w:t>J Legal Stud</w:t>
      </w:r>
      <w:r>
        <w:rPr>
          <w:rFonts w:ascii="Times New Roman" w:hAnsi="Times New Roman"/>
          <w:b w:val="0"/>
          <w:i w:val="0"/>
          <w:sz w:val="20"/>
        </w:rPr>
        <w:t>. 36(S2): S143-S182.</w:t>
      </w:r>
    </w:p>
    <w:p>
      <w:pPr>
        <w:spacing w:line="360" w:lineRule="auto"/>
      </w:pPr>
      <w:r>
        <w:rPr>
          <w:rFonts w:ascii="Times New Roman" w:hAnsi="Times New Roman"/>
          <w:b w:val="0"/>
          <w:i w:val="0"/>
          <w:sz w:val="20"/>
        </w:rPr>
        <w:t>Matsumoto, M., Inoue, K., Bowman, R. and Kajii, E. (2010), '</w:t>
      </w:r>
      <w:r>
        <w:rPr>
          <w:rFonts w:ascii="Times New Roman" w:hAnsi="Times New Roman"/>
          <w:b w:val="0"/>
          <w:i w:val="0"/>
          <w:sz w:val="20"/>
        </w:rPr>
        <w:t>Self-employment, specialty choice, and geographical distribution of physicians in Japan: a comparison with the United States</w:t>
      </w:r>
      <w:r>
        <w:rPr>
          <w:rFonts w:ascii="Times New Roman" w:hAnsi="Times New Roman"/>
          <w:b w:val="0"/>
          <w:i w:val="0"/>
          <w:sz w:val="20"/>
        </w:rPr>
        <w:t xml:space="preserve">', </w:t>
      </w:r>
      <w:r>
        <w:rPr>
          <w:rFonts w:ascii="Times New Roman" w:hAnsi="Times New Roman"/>
          <w:b w:val="0"/>
          <w:i/>
          <w:sz w:val="20"/>
        </w:rPr>
        <w:t>Health Policy</w:t>
      </w:r>
      <w:r>
        <w:rPr>
          <w:rFonts w:ascii="Times New Roman" w:hAnsi="Times New Roman"/>
          <w:b w:val="0"/>
          <w:i w:val="0"/>
          <w:sz w:val="20"/>
        </w:rPr>
        <w:t>. 96(3): 239-244. doi:10.1016/j.healthpol.2010.02.008</w:t>
      </w:r>
    </w:p>
    <w:p>
      <w:pPr>
        <w:spacing w:line="360" w:lineRule="auto"/>
      </w:pPr>
      <w:r>
        <w:rPr>
          <w:rFonts w:ascii="Times New Roman" w:hAnsi="Times New Roman"/>
          <w:b w:val="0"/>
          <w:i w:val="0"/>
          <w:sz w:val="20"/>
        </w:rPr>
        <w:t>McNamara, C. and Pineda-Torres, M. (2025), '</w:t>
      </w:r>
      <w:r>
        <w:rPr>
          <w:rFonts w:ascii="Times New Roman" w:hAnsi="Times New Roman"/>
          <w:b w:val="0"/>
          <w:i w:val="0"/>
          <w:sz w:val="20"/>
        </w:rPr>
        <w:t>Medical residency subsidies and physician shortages</w:t>
      </w:r>
      <w:r>
        <w:rPr>
          <w:rFonts w:ascii="Times New Roman" w:hAnsi="Times New Roman"/>
          <w:b w:val="0"/>
          <w:i w:val="0"/>
          <w:sz w:val="20"/>
        </w:rPr>
        <w:t xml:space="preserve">', </w:t>
      </w:r>
      <w:r>
        <w:rPr>
          <w:rFonts w:ascii="Times New Roman" w:hAnsi="Times New Roman"/>
          <w:b w:val="0"/>
          <w:i/>
          <w:sz w:val="20"/>
        </w:rPr>
        <w:t>J Public Econ</w:t>
      </w:r>
      <w:r>
        <w:rPr>
          <w:rFonts w:ascii="Times New Roman" w:hAnsi="Times New Roman"/>
          <w:b w:val="0"/>
          <w:i w:val="0"/>
          <w:sz w:val="20"/>
        </w:rPr>
        <w:t>. 251: 105494. doi:10.1016/j.jpubeco.2025.105494</w:t>
      </w:r>
    </w:p>
    <w:p>
      <w:pPr>
        <w:spacing w:line="360" w:lineRule="auto"/>
      </w:pPr>
      <w:r>
        <w:rPr>
          <w:rFonts w:ascii="Times New Roman" w:hAnsi="Times New Roman"/>
          <w:b w:val="0"/>
          <w:i w:val="0"/>
          <w:sz w:val="20"/>
        </w:rPr>
        <w:t>Medical Accident Investigation System (2015), Act on the Promotion of Medical Safety. Tokyo: Ministry of Health, Labour and Welfare.</w:t>
      </w:r>
    </w:p>
    <w:p>
      <w:pPr>
        <w:spacing w:line="360" w:lineRule="auto"/>
      </w:pPr>
      <w:r>
        <w:rPr>
          <w:rFonts w:ascii="Times New Roman" w:hAnsi="Times New Roman"/>
          <w:b w:val="0"/>
          <w:i w:val="0"/>
          <w:sz w:val="20"/>
        </w:rPr>
        <w:t xml:space="preserve">Mello, M.M., Kachalia, A. and Studdert, D.M. (2011), </w:t>
      </w:r>
      <w:r>
        <w:rPr>
          <w:rFonts w:ascii="Times New Roman" w:hAnsi="Times New Roman"/>
          <w:b w:val="0"/>
          <w:i/>
          <w:sz w:val="20"/>
        </w:rPr>
        <w:t>Administrative compensation for medical injuries: lessons from three foreign systems.</w:t>
      </w:r>
      <w:r>
        <w:rPr>
          <w:rFonts w:ascii="Times New Roman" w:hAnsi="Times New Roman"/>
          <w:b w:val="0"/>
          <w:i w:val="0"/>
          <w:sz w:val="20"/>
        </w:rPr>
        <w:t xml:space="preserve"> New York: The Commonwealth Fund.</w:t>
      </w:r>
    </w:p>
    <w:p>
      <w:pPr>
        <w:spacing w:line="360" w:lineRule="auto"/>
      </w:pPr>
      <w:r>
        <w:rPr>
          <w:rFonts w:ascii="Times New Roman" w:hAnsi="Times New Roman"/>
          <w:b w:val="0"/>
          <w:i w:val="0"/>
          <w:sz w:val="20"/>
        </w:rPr>
        <w:t xml:space="preserve">Ministry of Health, Labour and Welfare (2015), </w:t>
      </w:r>
      <w:r>
        <w:rPr>
          <w:rFonts w:ascii="Times New Roman" w:hAnsi="Times New Roman"/>
          <w:b w:val="0"/>
          <w:i/>
          <w:sz w:val="20"/>
        </w:rPr>
        <w:t>Number of physicians 3-5 years after medical registration, by principal specialty.</w:t>
      </w:r>
      <w:r>
        <w:rPr>
          <w:rFonts w:ascii="Times New Roman" w:hAnsi="Times New Roman"/>
          <w:b w:val="0"/>
          <w:i w:val="0"/>
          <w:sz w:val="20"/>
        </w:rPr>
        <w:t xml:space="preserve"> Tokyo: MHLW. Available at: https://www.mhlw.go.jp/file/06-Seisakujouhou-10800000-Iseikyoku/323.pdf (Accessed 15 August 2026).</w:t>
      </w:r>
    </w:p>
    <w:p>
      <w:pPr>
        <w:spacing w:line="360" w:lineRule="auto"/>
      </w:pPr>
      <w:r>
        <w:rPr>
          <w:rFonts w:ascii="Times New Roman" w:hAnsi="Times New Roman"/>
          <w:b w:val="0"/>
          <w:i w:val="0"/>
          <w:sz w:val="20"/>
        </w:rPr>
        <w:t xml:space="preserve">Ministry of Health, Labour and Welfare (2018), </w:t>
      </w:r>
      <w:r>
        <w:rPr>
          <w:rFonts w:ascii="Times New Roman" w:hAnsi="Times New Roman"/>
          <w:b w:val="0"/>
          <w:i/>
          <w:sz w:val="20"/>
        </w:rPr>
        <w:t>Adoption status of specialist trainees under the new specialist training system (toward the FY2018 launch).</w:t>
      </w:r>
      <w:r>
        <w:rPr>
          <w:rFonts w:ascii="Times New Roman" w:hAnsi="Times New Roman"/>
          <w:b w:val="0"/>
          <w:i w:val="0"/>
          <w:sz w:val="20"/>
        </w:rPr>
        <w:t xml:space="preserve"> Tokyo: MHLW. Available at: https://www.mhlw.go.jp/content/10803000/000452411.pdf (Accessed 15 August 2026).</w:t>
      </w:r>
    </w:p>
    <w:p>
      <w:pPr>
        <w:spacing w:line="360" w:lineRule="auto"/>
      </w:pPr>
      <w:r>
        <w:rPr>
          <w:rFonts w:ascii="Times New Roman" w:hAnsi="Times New Roman"/>
          <w:b w:val="0"/>
          <w:i w:val="0"/>
          <w:sz w:val="20"/>
        </w:rPr>
        <w:t xml:space="preserve">Ministry of Health, Labour and Welfare (2024a), </w:t>
      </w:r>
      <w:r>
        <w:rPr>
          <w:rFonts w:ascii="Times New Roman" w:hAnsi="Times New Roman"/>
          <w:b w:val="0"/>
          <w:i/>
          <w:sz w:val="20"/>
        </w:rPr>
        <w:t>Statistics of physicians, dentists and pharmacists.</w:t>
      </w:r>
      <w:r>
        <w:rPr>
          <w:rFonts w:ascii="Times New Roman" w:hAnsi="Times New Roman"/>
          <w:b w:val="0"/>
          <w:i w:val="0"/>
          <w:sz w:val="20"/>
        </w:rPr>
        <w:t xml:space="preserve"> Tokyo: MHLW. Available at: https://www.mhlw.go.jp/toukei/list/33-20b.html (Accessed 11 August 2026).</w:t>
      </w:r>
    </w:p>
    <w:p>
      <w:pPr>
        <w:spacing w:line="360" w:lineRule="auto"/>
      </w:pPr>
      <w:r>
        <w:rPr>
          <w:rFonts w:ascii="Times New Roman" w:hAnsi="Times New Roman"/>
          <w:b w:val="0"/>
          <w:i w:val="0"/>
          <w:sz w:val="20"/>
        </w:rPr>
        <w:t xml:space="preserve">Ministry of Health, Labour and Welfare (2024b), </w:t>
      </w:r>
      <w:r>
        <w:rPr>
          <w:rFonts w:ascii="Times New Roman" w:hAnsi="Times New Roman"/>
          <w:b w:val="0"/>
          <w:i/>
          <w:sz w:val="20"/>
        </w:rPr>
        <w:t>Survey of medical institutions (Dynamic).</w:t>
      </w:r>
      <w:r>
        <w:rPr>
          <w:rFonts w:ascii="Times New Roman" w:hAnsi="Times New Roman"/>
          <w:b w:val="0"/>
          <w:i w:val="0"/>
          <w:sz w:val="20"/>
        </w:rPr>
        <w:t xml:space="preserve"> Tokyo: MHLW. Available at: https://www.mhlw.go.jp/toukei/list/79-1a.html (Accessed 11 August 2026).</w:t>
      </w:r>
    </w:p>
    <w:p>
      <w:pPr>
        <w:spacing w:line="360" w:lineRule="auto"/>
      </w:pPr>
      <w:r>
        <w:rPr>
          <w:rFonts w:ascii="Times New Roman" w:hAnsi="Times New Roman"/>
          <w:b w:val="0"/>
          <w:i w:val="0"/>
          <w:sz w:val="20"/>
        </w:rPr>
        <w:t>Morita, H. (2018), '</w:t>
      </w:r>
      <w:r>
        <w:rPr>
          <w:rFonts w:ascii="Times New Roman" w:hAnsi="Times New Roman"/>
          <w:b w:val="0"/>
          <w:i w:val="0"/>
          <w:sz w:val="20"/>
        </w:rPr>
        <w:t>Criminal prosecution and physician supply</w:t>
      </w:r>
      <w:r>
        <w:rPr>
          <w:rFonts w:ascii="Times New Roman" w:hAnsi="Times New Roman"/>
          <w:b w:val="0"/>
          <w:i w:val="0"/>
          <w:sz w:val="20"/>
        </w:rPr>
        <w:t xml:space="preserve">', </w:t>
      </w:r>
      <w:r>
        <w:rPr>
          <w:rFonts w:ascii="Times New Roman" w:hAnsi="Times New Roman"/>
          <w:b w:val="0"/>
          <w:i/>
          <w:sz w:val="20"/>
        </w:rPr>
        <w:t>Int Rev Law Econ</w:t>
      </w:r>
      <w:r>
        <w:rPr>
          <w:rFonts w:ascii="Times New Roman" w:hAnsi="Times New Roman"/>
          <w:b w:val="0"/>
          <w:i w:val="0"/>
          <w:sz w:val="20"/>
        </w:rPr>
        <w:t>. 55: 1-11.</w:t>
      </w:r>
    </w:p>
    <w:p>
      <w:pPr>
        <w:spacing w:line="360" w:lineRule="auto"/>
      </w:pPr>
      <w:r>
        <w:rPr>
          <w:rFonts w:ascii="Times New Roman" w:hAnsi="Times New Roman"/>
          <w:b w:val="0"/>
          <w:i w:val="0"/>
          <w:sz w:val="20"/>
        </w:rPr>
        <w:t>Nikkei Inc (2024), Nikkei Telecom 21. Tokyo: Nikkei Inc. Available at: https://telecom.nikkei.co.jp/ (Accessed 2024).</w:t>
      </w:r>
    </w:p>
    <w:p>
      <w:pPr>
        <w:spacing w:line="360" w:lineRule="auto"/>
      </w:pPr>
      <w:r>
        <w:rPr>
          <w:rFonts w:ascii="Times New Roman" w:hAnsi="Times New Roman"/>
          <w:b w:val="0"/>
          <w:i w:val="0"/>
          <w:sz w:val="20"/>
        </w:rPr>
        <w:t>Samuelson, W. and Zeckhauser, R. (1988), '</w:t>
      </w:r>
      <w:r>
        <w:rPr>
          <w:rFonts w:ascii="Times New Roman" w:hAnsi="Times New Roman"/>
          <w:b w:val="0"/>
          <w:i w:val="0"/>
          <w:sz w:val="20"/>
        </w:rPr>
        <w:t>Status quo bias in decision making</w:t>
      </w:r>
      <w:r>
        <w:rPr>
          <w:rFonts w:ascii="Times New Roman" w:hAnsi="Times New Roman"/>
          <w:b w:val="0"/>
          <w:i w:val="0"/>
          <w:sz w:val="20"/>
        </w:rPr>
        <w:t xml:space="preserve">', </w:t>
      </w:r>
      <w:r>
        <w:rPr>
          <w:rFonts w:ascii="Times New Roman" w:hAnsi="Times New Roman"/>
          <w:b w:val="0"/>
          <w:i/>
          <w:sz w:val="20"/>
        </w:rPr>
        <w:t>J Risk Uncertain</w:t>
      </w:r>
      <w:r>
        <w:rPr>
          <w:rFonts w:ascii="Times New Roman" w:hAnsi="Times New Roman"/>
          <w:b w:val="0"/>
          <w:i w:val="0"/>
          <w:sz w:val="20"/>
        </w:rPr>
        <w:t>. 1(1): 7-59.</w:t>
      </w:r>
    </w:p>
    <w:p>
      <w:pPr>
        <w:spacing w:line="360" w:lineRule="auto"/>
      </w:pPr>
      <w:r>
        <w:rPr>
          <w:rFonts w:ascii="Times New Roman" w:hAnsi="Times New Roman"/>
          <w:b w:val="0"/>
          <w:i w:val="0"/>
          <w:sz w:val="20"/>
        </w:rPr>
        <w:t>Schuirmann, D.J. (1987), '</w:t>
      </w:r>
      <w:r>
        <w:rPr>
          <w:rFonts w:ascii="Times New Roman" w:hAnsi="Times New Roman"/>
          <w:b w:val="0"/>
          <w:i w:val="0"/>
          <w:sz w:val="20"/>
        </w:rPr>
        <w:t>A comparison of the two one-sided tests procedure and the power approach for assessing the equivalence of average bioavailability</w:t>
      </w:r>
      <w:r>
        <w:rPr>
          <w:rFonts w:ascii="Times New Roman" w:hAnsi="Times New Roman"/>
          <w:b w:val="0"/>
          <w:i w:val="0"/>
          <w:sz w:val="20"/>
        </w:rPr>
        <w:t xml:space="preserve">', </w:t>
      </w:r>
      <w:r>
        <w:rPr>
          <w:rFonts w:ascii="Times New Roman" w:hAnsi="Times New Roman"/>
          <w:b w:val="0"/>
          <w:i/>
          <w:sz w:val="20"/>
        </w:rPr>
        <w:t>J Pharmacokinet Biopharm</w:t>
      </w:r>
      <w:r>
        <w:rPr>
          <w:rFonts w:ascii="Times New Roman" w:hAnsi="Times New Roman"/>
          <w:b w:val="0"/>
          <w:i w:val="0"/>
          <w:sz w:val="20"/>
        </w:rPr>
        <w:t>. 15(6): 657-680.</w:t>
      </w:r>
    </w:p>
    <w:p>
      <w:pPr>
        <w:spacing w:line="360" w:lineRule="auto"/>
      </w:pPr>
      <w:r>
        <w:rPr>
          <w:rFonts w:ascii="Times New Roman" w:hAnsi="Times New Roman"/>
          <w:b w:val="0"/>
          <w:i w:val="0"/>
          <w:sz w:val="20"/>
        </w:rPr>
        <w:t>Sloan, F.A. and Shadle, J.H. (2008), '</w:t>
      </w:r>
      <w:r>
        <w:rPr>
          <w:rFonts w:ascii="Times New Roman" w:hAnsi="Times New Roman"/>
          <w:b w:val="0"/>
          <w:i w:val="0"/>
          <w:sz w:val="20"/>
        </w:rPr>
        <w:t>Is there empirical evidence for "Defensive Medicine"? A reassessment</w:t>
      </w:r>
      <w:r>
        <w:rPr>
          <w:rFonts w:ascii="Times New Roman" w:hAnsi="Times New Roman"/>
          <w:b w:val="0"/>
          <w:i w:val="0"/>
          <w:sz w:val="20"/>
        </w:rPr>
        <w:t xml:space="preserve">', </w:t>
      </w:r>
      <w:r>
        <w:rPr>
          <w:rFonts w:ascii="Times New Roman" w:hAnsi="Times New Roman"/>
          <w:b w:val="0"/>
          <w:i/>
          <w:sz w:val="20"/>
        </w:rPr>
        <w:t>J Health Econ</w:t>
      </w:r>
      <w:r>
        <w:rPr>
          <w:rFonts w:ascii="Times New Roman" w:hAnsi="Times New Roman"/>
          <w:b w:val="0"/>
          <w:i w:val="0"/>
          <w:sz w:val="20"/>
        </w:rPr>
        <w:t>. 27(2): 481-491.</w:t>
      </w:r>
    </w:p>
    <w:p>
      <w:pPr>
        <w:spacing w:line="360" w:lineRule="auto"/>
      </w:pPr>
      <w:r>
        <w:rPr>
          <w:rFonts w:ascii="Times New Roman" w:hAnsi="Times New Roman"/>
          <w:b w:val="0"/>
          <w:i w:val="0"/>
          <w:sz w:val="20"/>
        </w:rPr>
        <w:t>Studdert, D.M., Mello, M.M. and Brennan, T.A. (2004), '</w:t>
      </w:r>
      <w:r>
        <w:rPr>
          <w:rFonts w:ascii="Times New Roman" w:hAnsi="Times New Roman"/>
          <w:b w:val="0"/>
          <w:i w:val="0"/>
          <w:sz w:val="20"/>
        </w:rPr>
        <w:t>Medical malpractice</w:t>
      </w:r>
      <w:r>
        <w:rPr>
          <w:rFonts w:ascii="Times New Roman" w:hAnsi="Times New Roman"/>
          <w:b w:val="0"/>
          <w:i w:val="0"/>
          <w:sz w:val="20"/>
        </w:rPr>
        <w:t xml:space="preserve">', </w:t>
      </w:r>
      <w:r>
        <w:rPr>
          <w:rFonts w:ascii="Times New Roman" w:hAnsi="Times New Roman"/>
          <w:b w:val="0"/>
          <w:i/>
          <w:sz w:val="20"/>
        </w:rPr>
        <w:t>N Engl J Med</w:t>
      </w:r>
      <w:r>
        <w:rPr>
          <w:rFonts w:ascii="Times New Roman" w:hAnsi="Times New Roman"/>
          <w:b w:val="0"/>
          <w:i w:val="0"/>
          <w:sz w:val="20"/>
        </w:rPr>
        <w:t>. 350(3): 283-292.</w:t>
      </w:r>
    </w:p>
    <w:p>
      <w:pPr>
        <w:spacing w:line="360" w:lineRule="auto"/>
      </w:pPr>
      <w:r>
        <w:rPr>
          <w:rFonts w:ascii="Times New Roman" w:hAnsi="Times New Roman"/>
          <w:b w:val="0"/>
          <w:i w:val="0"/>
          <w:sz w:val="20"/>
        </w:rPr>
        <w:t xml:space="preserve">Supreme Court of Japan, Committee on Medical Litigation (2024), </w:t>
      </w:r>
      <w:r>
        <w:rPr>
          <w:rFonts w:ascii="Times New Roman" w:hAnsi="Times New Roman"/>
          <w:b w:val="0"/>
          <w:i/>
          <w:sz w:val="20"/>
        </w:rPr>
        <w:t>Statistics on medical malpractice litigation (closed cases by specialty).</w:t>
      </w:r>
      <w:r>
        <w:rPr>
          <w:rFonts w:ascii="Times New Roman" w:hAnsi="Times New Roman"/>
          <w:b w:val="0"/>
          <w:i w:val="0"/>
          <w:sz w:val="20"/>
        </w:rPr>
        <w:t xml:space="preserve"> Tokyo: Supreme Court of Japan. Available at: https://www.courts.go.jp/ (Accessed 11 August 2026).</w:t>
      </w:r>
    </w:p>
    <w:p>
      <w:pPr>
        <w:spacing w:line="360" w:lineRule="auto"/>
      </w:pPr>
      <w:r>
        <w:rPr>
          <w:rFonts w:ascii="Times New Roman" w:hAnsi="Times New Roman"/>
          <w:b w:val="0"/>
          <w:i w:val="0"/>
          <w:sz w:val="20"/>
        </w:rPr>
        <w:t>Taniguchi, K., Watari, T. and Nagoshi, K. (2023), '</w:t>
      </w:r>
      <w:r>
        <w:rPr>
          <w:rFonts w:ascii="Times New Roman" w:hAnsi="Times New Roman"/>
          <w:b w:val="0"/>
          <w:i w:val="0"/>
          <w:sz w:val="20"/>
        </w:rPr>
        <w:t>Characteristics and trends of medical malpractice claims in Japan between 2006 and 2021</w:t>
      </w:r>
      <w:r>
        <w:rPr>
          <w:rFonts w:ascii="Times New Roman" w:hAnsi="Times New Roman"/>
          <w:b w:val="0"/>
          <w:i w:val="0"/>
          <w:sz w:val="20"/>
        </w:rPr>
        <w:t xml:space="preserve">', </w:t>
      </w:r>
      <w:r>
        <w:rPr>
          <w:rFonts w:ascii="Times New Roman" w:hAnsi="Times New Roman"/>
          <w:b w:val="0"/>
          <w:i/>
          <w:sz w:val="20"/>
        </w:rPr>
        <w:t>PLoS One</w:t>
      </w:r>
      <w:r>
        <w:rPr>
          <w:rFonts w:ascii="Times New Roman" w:hAnsi="Times New Roman"/>
          <w:b w:val="0"/>
          <w:i w:val="0"/>
          <w:sz w:val="20"/>
        </w:rPr>
        <w:t>. 18(12): e0296155.</w:t>
      </w:r>
    </w:p>
    <w:p>
      <w:pPr>
        <w:spacing w:line="360" w:lineRule="auto"/>
      </w:pPr>
      <w:r>
        <w:rPr>
          <w:rFonts w:ascii="Times New Roman" w:hAnsi="Times New Roman"/>
          <w:b w:val="0"/>
          <w:i w:val="0"/>
          <w:sz w:val="20"/>
        </w:rPr>
        <w:t>Tversky, A. and Kahneman, D. (1973), '</w:t>
      </w:r>
      <w:r>
        <w:rPr>
          <w:rFonts w:ascii="Times New Roman" w:hAnsi="Times New Roman"/>
          <w:b w:val="0"/>
          <w:i w:val="0"/>
          <w:sz w:val="20"/>
        </w:rPr>
        <w:t>Availability: a heuristic for judging frequency and probability</w:t>
      </w:r>
      <w:r>
        <w:rPr>
          <w:rFonts w:ascii="Times New Roman" w:hAnsi="Times New Roman"/>
          <w:b w:val="0"/>
          <w:i w:val="0"/>
          <w:sz w:val="20"/>
        </w:rPr>
        <w:t xml:space="preserve">', </w:t>
      </w:r>
      <w:r>
        <w:rPr>
          <w:rFonts w:ascii="Times New Roman" w:hAnsi="Times New Roman"/>
          <w:b w:val="0"/>
          <w:i/>
          <w:sz w:val="20"/>
        </w:rPr>
        <w:t>Cogn Psychol</w:t>
      </w:r>
      <w:r>
        <w:rPr>
          <w:rFonts w:ascii="Times New Roman" w:hAnsi="Times New Roman"/>
          <w:b w:val="0"/>
          <w:i w:val="0"/>
          <w:sz w:val="20"/>
        </w:rPr>
        <w:t>. 5(2): 207-232.</w:t>
      </w:r>
    </w:p>
    <w:p>
      <w:pPr>
        <w:spacing w:line="360" w:lineRule="auto"/>
      </w:pPr>
      <w:r>
        <w:rPr>
          <w:rFonts w:ascii="Times New Roman" w:hAnsi="Times New Roman"/>
          <w:b w:val="0"/>
          <w:i w:val="0"/>
          <w:sz w:val="20"/>
        </w:rPr>
        <w:t>von Elm, E., Altman, D.G., Egger, M., et al. (2007), '</w:t>
      </w:r>
      <w:r>
        <w:rPr>
          <w:rFonts w:ascii="Times New Roman" w:hAnsi="Times New Roman"/>
          <w:b w:val="0"/>
          <w:i w:val="0"/>
          <w:sz w:val="20"/>
        </w:rPr>
        <w:t>The STROBE statement</w:t>
      </w:r>
      <w:r>
        <w:rPr>
          <w:rFonts w:ascii="Times New Roman" w:hAnsi="Times New Roman"/>
          <w:b w:val="0"/>
          <w:i w:val="0"/>
          <w:sz w:val="20"/>
        </w:rPr>
        <w:t xml:space="preserve">', </w:t>
      </w:r>
      <w:r>
        <w:rPr>
          <w:rFonts w:ascii="Times New Roman" w:hAnsi="Times New Roman"/>
          <w:b w:val="0"/>
          <w:i/>
          <w:sz w:val="20"/>
        </w:rPr>
        <w:t>Lancet</w:t>
      </w:r>
      <w:r>
        <w:rPr>
          <w:rFonts w:ascii="Times New Roman" w:hAnsi="Times New Roman"/>
          <w:b w:val="0"/>
          <w:i w:val="0"/>
          <w:sz w:val="20"/>
        </w:rPr>
        <w:t>. 370(9596): 1453-1457.</w:t>
      </w:r>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Funding</w:t>
      </w:r>
    </w:p>
    <w:p>
      <w:pPr>
        <w:spacing w:line="480" w:lineRule="auto" w:after="120"/>
      </w:pPr>
      <w:r>
        <w:rPr>
          <w:rFonts w:ascii="Times New Roman" w:hAnsi="Times New Roman"/>
          <w:b w:val="0"/>
          <w:i w:val="0"/>
          <w:sz w:val="24"/>
        </w:rPr>
        <w:t>This research received no specific grant from any funding agency in the public, commercial or not-for-profit sectors.</w:t>
      </w:r>
    </w:p>
    <w:p>
      <w:pPr>
        <w:pStyle w:val="Heading1"/>
      </w:pPr>
      <w:r>
        <w:rPr>
          <w:rFonts w:ascii="Times New Roman" w:hAnsi="Times New Roman"/>
          <w:color w:val="000000"/>
        </w:rPr>
        <w:t>Competing interests</w:t>
      </w:r>
    </w:p>
    <w:p>
      <w:pPr>
        <w:spacing w:line="480" w:lineRule="auto" w:after="120"/>
      </w:pPr>
      <w:r>
        <w:rPr>
          <w:rFonts w:ascii="Times New Roman" w:hAnsi="Times New Roman"/>
          <w:b w:val="0"/>
          <w:i w:val="0"/>
          <w:sz w:val="24"/>
        </w:rPr>
        <w:t>The authors declare no competing interests.</w:t>
      </w:r>
    </w:p>
    <w:p>
      <w:pPr>
        <w:pStyle w:val="Heading1"/>
      </w:pPr>
      <w:r>
        <w:rPr>
          <w:rFonts w:ascii="Times New Roman" w:hAnsi="Times New Roman"/>
          <w:color w:val="000000"/>
        </w:rPr>
        <w:t>Data availability</w:t>
      </w:r>
    </w:p>
    <w:p>
      <w:pPr>
        <w:spacing w:line="480" w:lineRule="auto" w:after="120"/>
      </w:pPr>
      <w:r>
        <w:rPr>
          <w:rFonts w:ascii="Times New Roman" w:hAnsi="Times New Roman"/>
          <w:b w:val="0"/>
          <w:i w:val="0"/>
          <w:sz w:val="24"/>
        </w:rPr>
        <w:t>All primary data files, extraction scripts and analysis code are openly available in the project repository (URL omitted for anonymised peer review), enabling full reproduction of every reported number. The full repository URL is provided to the editor on request.</w:t>
      </w:r>
    </w:p>
    <w:p>
      <w:pPr>
        <w:pStyle w:val="Heading1"/>
      </w:pPr>
      <w:r>
        <w:rPr>
          <w:rFonts w:ascii="Times New Roman" w:hAnsi="Times New Roman"/>
          <w:color w:val="000000"/>
        </w:rPr>
        <w:t>Ethics approval</w:t>
      </w:r>
    </w:p>
    <w:p>
      <w:pPr>
        <w:spacing w:line="480" w:lineRule="auto" w:after="120"/>
      </w:pPr>
      <w:r>
        <w:rPr>
          <w:rFonts w:ascii="Times New Roman" w:hAnsi="Times New Roman"/>
          <w:b w:val="0"/>
          <w:i w:val="0"/>
          <w:sz w:val="24"/>
        </w:rPr>
        <w:t>This study used publicly available aggregated national statistics and did not involve human subjects, identifiable data or patient records; no ethics approval was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